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01C" w:rsidRPr="00212C22" w:rsidRDefault="00212C22" w:rsidP="00E8701C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40"/>
          <w:szCs w:val="40"/>
        </w:rPr>
      </w:pPr>
      <w:r w:rsidRPr="00212C22">
        <w:rPr>
          <w:rFonts w:ascii="MyriadPro-Light" w:hAnsi="MyriadPro-Light" w:cs="MyriadPro-Light"/>
          <w:color w:val="000000"/>
          <w:sz w:val="40"/>
          <w:szCs w:val="40"/>
        </w:rPr>
        <w:t>Engagement and A</w:t>
      </w:r>
      <w:r w:rsidR="00E8701C" w:rsidRPr="00212C22">
        <w:rPr>
          <w:rFonts w:ascii="MyriadPro-Light" w:hAnsi="MyriadPro-Light" w:cs="MyriadPro-Light"/>
          <w:color w:val="000000"/>
          <w:sz w:val="40"/>
          <w:szCs w:val="40"/>
        </w:rPr>
        <w:t>ction in the Internet Age</w:t>
      </w:r>
    </w:p>
    <w:p w:rsidR="00212C22" w:rsidRDefault="00212C22" w:rsidP="00E8701C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5"/>
          <w:szCs w:val="15"/>
        </w:rPr>
      </w:pPr>
    </w:p>
    <w:p w:rsidR="00E8701C" w:rsidRDefault="00E8701C" w:rsidP="00E8701C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  <w:r>
        <w:rPr>
          <w:rFonts w:ascii="MyriadPro-Light" w:hAnsi="MyriadPro-Light" w:cs="MyriadPro-Light"/>
          <w:color w:val="000000"/>
          <w:sz w:val="17"/>
          <w:szCs w:val="17"/>
        </w:rPr>
        <w:t>A regular observation from those involve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d in thinking deeply about, and </w:t>
      </w:r>
      <w:r>
        <w:rPr>
          <w:rFonts w:ascii="MyriadPro-Light" w:hAnsi="MyriadPro-Light" w:cs="MyriadPro-Light"/>
          <w:color w:val="000000"/>
          <w:sz w:val="17"/>
          <w:szCs w:val="17"/>
        </w:rPr>
        <w:t>planning for, the future is that there are fre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quently two substantial drivers </w:t>
      </w:r>
      <w:r>
        <w:rPr>
          <w:rFonts w:ascii="MyriadPro-Light" w:hAnsi="MyriadPro-Light" w:cs="MyriadPro-Light"/>
          <w:color w:val="000000"/>
          <w:sz w:val="17"/>
          <w:szCs w:val="17"/>
        </w:rPr>
        <w:t>op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erating in opposite directions. </w:t>
      </w:r>
      <w:r>
        <w:rPr>
          <w:rFonts w:ascii="MyriadPro-Light" w:hAnsi="MyriadPro-Light" w:cs="MyriadPro-Light"/>
          <w:color w:val="000000"/>
          <w:sz w:val="17"/>
          <w:szCs w:val="17"/>
        </w:rPr>
        <w:t>While the drivers can be fairly eas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ily identified, the interaction </w:t>
      </w:r>
      <w:r>
        <w:rPr>
          <w:rFonts w:ascii="MyriadPro-Light" w:hAnsi="MyriadPro-Light" w:cs="MyriadPro-Light"/>
          <w:color w:val="000000"/>
          <w:sz w:val="17"/>
          <w:szCs w:val="17"/>
        </w:rPr>
        <w:t>between the two, and which one might domina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te, is almost impossible </w:t>
      </w:r>
      <w:r>
        <w:rPr>
          <w:rFonts w:ascii="MyriadPro-Light" w:hAnsi="MyriadPro-Light" w:cs="MyriadPro-Light"/>
          <w:color w:val="000000"/>
          <w:sz w:val="17"/>
          <w:szCs w:val="17"/>
        </w:rPr>
        <w:t xml:space="preserve">to establish </w:t>
      </w:r>
      <w:r>
        <w:rPr>
          <w:rFonts w:ascii="MyriadPro-LightIt" w:hAnsi="MyriadPro-LightIt" w:cs="MyriadPro-LightIt"/>
          <w:i/>
          <w:iCs/>
          <w:color w:val="000000"/>
          <w:sz w:val="17"/>
          <w:szCs w:val="17"/>
        </w:rPr>
        <w:t>a priori</w:t>
      </w:r>
      <w:r>
        <w:rPr>
          <w:rFonts w:ascii="MyriadPro-Light" w:hAnsi="MyriadPro-Light" w:cs="MyriadPro-Light"/>
          <w:color w:val="000000"/>
          <w:sz w:val="17"/>
          <w:szCs w:val="17"/>
        </w:rPr>
        <w:t>.</w:t>
      </w:r>
      <w:r w:rsidR="003D1926" w:rsidRPr="003D1926">
        <w:rPr>
          <w:rFonts w:ascii="MyriadPro-Light" w:hAnsi="MyriadPro-Light" w:cs="MyriadPro-Light"/>
          <w:color w:val="000000"/>
          <w:sz w:val="17"/>
          <w:szCs w:val="17"/>
        </w:rPr>
        <w:t xml:space="preserve"> </w:t>
      </w:r>
      <w:bookmarkStart w:id="0" w:name="_GoBack"/>
      <w:r w:rsidR="003D1926">
        <w:rPr>
          <w:rFonts w:ascii="MyriadPro-Light" w:hAnsi="MyriadPro-Light" w:cs="MyriadPro-Light"/>
          <w:noProof/>
          <w:color w:val="000000"/>
          <w:sz w:val="17"/>
          <w:szCs w:val="17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1143000" y="2238375"/>
            <wp:positionH relativeFrom="margin">
              <wp:align>right</wp:align>
            </wp:positionH>
            <wp:positionV relativeFrom="margin">
              <wp:align>top</wp:align>
            </wp:positionV>
            <wp:extent cx="2286000" cy="1066800"/>
            <wp:effectExtent l="228600" t="228600" r="228600" b="22860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06680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bookmarkEnd w:id="0"/>
      <w:r w:rsidR="003D1926">
        <w:rPr>
          <w:rFonts w:ascii="MyriadPro-Light" w:hAnsi="MyriadPro-Light" w:cs="MyriadPro-Light"/>
          <w:color w:val="000000"/>
          <w:sz w:val="17"/>
          <w:szCs w:val="17"/>
        </w:rPr>
        <w:t xml:space="preserve"> </w:t>
      </w:r>
    </w:p>
    <w:p w:rsidR="00212C22" w:rsidRDefault="00212C22" w:rsidP="00E8701C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</w:p>
    <w:p w:rsidR="003D1926" w:rsidRDefault="003D1926" w:rsidP="00E8701C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</w:p>
    <w:p w:rsidR="00E8701C" w:rsidRDefault="00E8701C" w:rsidP="00E8701C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  <w:r>
        <w:rPr>
          <w:rFonts w:ascii="MyriadPro-Light" w:hAnsi="MyriadPro-Light" w:cs="MyriadPro-Light"/>
          <w:color w:val="000000"/>
          <w:sz w:val="17"/>
          <w:szCs w:val="17"/>
        </w:rPr>
        <w:t>As an example, the world of the in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ternet is allowing unparalleled </w:t>
      </w:r>
      <w:r>
        <w:rPr>
          <w:rFonts w:ascii="MyriadPro-Light" w:hAnsi="MyriadPro-Light" w:cs="MyriadPro-Light"/>
          <w:color w:val="000000"/>
          <w:sz w:val="17"/>
          <w:szCs w:val="17"/>
        </w:rPr>
        <w:t>connectivity between people who share s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ome sort of interest. But there </w:t>
      </w:r>
      <w:r>
        <w:rPr>
          <w:rFonts w:ascii="MyriadPro-Light" w:hAnsi="MyriadPro-Light" w:cs="MyriadPro-Light"/>
          <w:color w:val="000000"/>
          <w:sz w:val="17"/>
          <w:szCs w:val="17"/>
        </w:rPr>
        <w:t>is strong evidence that our capacity t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o engage in long-term committed </w:t>
      </w:r>
      <w:r>
        <w:rPr>
          <w:rFonts w:ascii="MyriadPro-Light" w:hAnsi="MyriadPro-Light" w:cs="MyriadPro-Light"/>
          <w:color w:val="000000"/>
          <w:sz w:val="17"/>
          <w:szCs w:val="17"/>
        </w:rPr>
        <w:t>thought and action to address a major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 challenge has been reduced, at </w:t>
      </w:r>
      <w:r>
        <w:rPr>
          <w:rFonts w:ascii="MyriadPro-Light" w:hAnsi="MyriadPro-Light" w:cs="MyriadPro-Light"/>
          <w:color w:val="000000"/>
          <w:sz w:val="17"/>
          <w:szCs w:val="17"/>
        </w:rPr>
        <w:t>least in comparison with that of small discrete communities of the past.</w:t>
      </w:r>
    </w:p>
    <w:p w:rsidR="00212C22" w:rsidRDefault="00212C22" w:rsidP="00E8701C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</w:p>
    <w:p w:rsidR="00E8701C" w:rsidRDefault="00E8701C" w:rsidP="00E8701C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  <w:r>
        <w:rPr>
          <w:rFonts w:ascii="MyriadPro-Light" w:hAnsi="MyriadPro-Light" w:cs="MyriadPro-Light"/>
          <w:color w:val="000000"/>
          <w:sz w:val="17"/>
          <w:szCs w:val="17"/>
        </w:rPr>
        <w:t>The ageing of our population (and eac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h one of us) presents just such </w:t>
      </w:r>
      <w:r>
        <w:rPr>
          <w:rFonts w:ascii="MyriadPro-Light" w:hAnsi="MyriadPro-Light" w:cs="MyriadPro-Light"/>
          <w:color w:val="000000"/>
          <w:sz w:val="17"/>
          <w:szCs w:val="17"/>
        </w:rPr>
        <w:t xml:space="preserve">a challenge. The extraordinary success of our 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longevity extension, with </w:t>
      </w:r>
      <w:r>
        <w:rPr>
          <w:rFonts w:ascii="MyriadPro-Light" w:hAnsi="MyriadPro-Light" w:cs="MyriadPro-Light"/>
          <w:color w:val="000000"/>
          <w:sz w:val="17"/>
          <w:szCs w:val="17"/>
        </w:rPr>
        <w:t xml:space="preserve">average age advancing in front of us at a 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rate of three months a year, is </w:t>
      </w:r>
      <w:r>
        <w:rPr>
          <w:rFonts w:ascii="MyriadPro-Light" w:hAnsi="MyriadPro-Light" w:cs="MyriadPro-Light"/>
          <w:color w:val="000000"/>
          <w:sz w:val="17"/>
          <w:szCs w:val="17"/>
        </w:rPr>
        <w:t>challenging the foundations of all the instit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utions whose design to care for </w:t>
      </w:r>
      <w:r>
        <w:rPr>
          <w:rFonts w:ascii="MyriadPro-Light" w:hAnsi="MyriadPro-Light" w:cs="MyriadPro-Light"/>
          <w:color w:val="000000"/>
          <w:sz w:val="17"/>
          <w:szCs w:val="17"/>
        </w:rPr>
        <w:t xml:space="preserve">this sector of the population is based on rapidly 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>out-dated</w:t>
      </w:r>
      <w:r>
        <w:rPr>
          <w:rFonts w:ascii="MyriadPro-Light" w:hAnsi="MyriadPro-Light" w:cs="MyriadPro-Light"/>
          <w:color w:val="000000"/>
          <w:sz w:val="17"/>
          <w:szCs w:val="17"/>
        </w:rPr>
        <w:t xml:space="preserve"> assumptions.</w:t>
      </w:r>
    </w:p>
    <w:p w:rsidR="00212C22" w:rsidRDefault="00212C22" w:rsidP="00E8701C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</w:p>
    <w:p w:rsidR="00212C22" w:rsidRDefault="00E8701C" w:rsidP="00E8701C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  <w:r>
        <w:rPr>
          <w:rFonts w:ascii="MyriadPro-Light" w:hAnsi="MyriadPro-Light" w:cs="MyriadPro-Light"/>
          <w:color w:val="000000"/>
          <w:sz w:val="17"/>
          <w:szCs w:val="17"/>
        </w:rPr>
        <w:t>Health costs are escalating. Our hospita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l systems are in huge disarray. </w:t>
      </w:r>
      <w:r>
        <w:rPr>
          <w:rFonts w:ascii="MyriadPro-Light" w:hAnsi="MyriadPro-Light" w:cs="MyriadPro-Light"/>
          <w:color w:val="000000"/>
          <w:sz w:val="17"/>
          <w:szCs w:val="17"/>
        </w:rPr>
        <w:t>The availability of, and level of care in, facilities for the aged –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 no matter </w:t>
      </w:r>
      <w:r>
        <w:rPr>
          <w:rFonts w:ascii="MyriadPro-Light" w:hAnsi="MyriadPro-Light" w:cs="MyriadPro-Light"/>
          <w:color w:val="000000"/>
          <w:sz w:val="17"/>
          <w:szCs w:val="17"/>
        </w:rPr>
        <w:t>how well managed and intentioned – are f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ar less than desirable, and for </w:t>
      </w:r>
      <w:r>
        <w:rPr>
          <w:rFonts w:ascii="MyriadPro-Light" w:hAnsi="MyriadPro-Light" w:cs="MyriadPro-Light"/>
          <w:color w:val="000000"/>
          <w:sz w:val="17"/>
          <w:szCs w:val="17"/>
        </w:rPr>
        <w:t>many a source of considerable distress</w:t>
      </w:r>
    </w:p>
    <w:p w:rsidR="00E8701C" w:rsidRDefault="00E8701C" w:rsidP="00E8701C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  <w:r>
        <w:rPr>
          <w:rFonts w:ascii="MyriadPro-Light" w:hAnsi="MyriadPro-Light" w:cs="MyriadPro-Light"/>
          <w:color w:val="000000"/>
          <w:sz w:val="17"/>
          <w:szCs w:val="17"/>
        </w:rPr>
        <w:t>.</w:t>
      </w:r>
    </w:p>
    <w:p w:rsidR="00E8701C" w:rsidRDefault="00E8701C" w:rsidP="00E8701C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  <w:r>
        <w:rPr>
          <w:rFonts w:ascii="MyriadPro-Light" w:hAnsi="MyriadPro-Light" w:cs="MyriadPro-Light"/>
          <w:color w:val="000000"/>
          <w:sz w:val="17"/>
          <w:szCs w:val="17"/>
        </w:rPr>
        <w:t>The Emerging Assistive and Medic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al Technologies Network (EAMTN) proposed by </w:t>
      </w:r>
      <w:r w:rsidR="00A91622">
        <w:rPr>
          <w:rFonts w:ascii="MyriadPro-Light" w:hAnsi="MyriadPro-Light" w:cs="MyriadPro-Light"/>
          <w:color w:val="000000"/>
          <w:sz w:val="17"/>
          <w:szCs w:val="17"/>
        </w:rPr>
        <w:t>the Academy of Technological Sciences and Engineering (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>ATSE</w:t>
      </w:r>
      <w:r w:rsidR="00A91622">
        <w:rPr>
          <w:rFonts w:ascii="MyriadPro-Light" w:hAnsi="MyriadPro-Light" w:cs="MyriadPro-Light"/>
          <w:color w:val="000000"/>
          <w:sz w:val="17"/>
          <w:szCs w:val="17"/>
        </w:rPr>
        <w:t>)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 </w:t>
      </w:r>
      <w:r>
        <w:rPr>
          <w:rFonts w:ascii="MyriadPro-Light" w:hAnsi="MyriadPro-Light" w:cs="MyriadPro-Light"/>
          <w:color w:val="000000"/>
          <w:sz w:val="17"/>
          <w:szCs w:val="17"/>
        </w:rPr>
        <w:t>is an attempt to harness the power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 of technology and connectivity </w:t>
      </w:r>
      <w:r>
        <w:rPr>
          <w:rFonts w:ascii="MyriadPro-Light" w:hAnsi="MyriadPro-Light" w:cs="MyriadPro-Light"/>
          <w:color w:val="000000"/>
          <w:sz w:val="17"/>
          <w:szCs w:val="17"/>
        </w:rPr>
        <w:t>to provide the basis for “building a healthier and more f</w:t>
      </w:r>
      <w:r w:rsidR="00A91622">
        <w:rPr>
          <w:rFonts w:ascii="MyriadPro-Light" w:hAnsi="MyriadPro-Light" w:cs="MyriadPro-Light"/>
          <w:color w:val="000000"/>
          <w:sz w:val="17"/>
          <w:szCs w:val="17"/>
        </w:rPr>
        <w:t xml:space="preserve">ulfilling life for </w:t>
      </w:r>
      <w:r>
        <w:rPr>
          <w:rFonts w:ascii="MyriadPro-Light" w:hAnsi="MyriadPro-Light" w:cs="MyriadPro-Light"/>
          <w:color w:val="000000"/>
          <w:sz w:val="17"/>
          <w:szCs w:val="17"/>
        </w:rPr>
        <w:t>present and future Australians”.</w:t>
      </w:r>
      <w:r w:rsidR="00A91622">
        <w:rPr>
          <w:rFonts w:ascii="MyriadPro-Light" w:hAnsi="MyriadPro-Light" w:cs="MyriadPro-Light"/>
          <w:color w:val="000000"/>
          <w:sz w:val="17"/>
          <w:szCs w:val="17"/>
        </w:rPr>
        <w:t xml:space="preserve"> </w:t>
      </w:r>
      <w:hyperlink r:id="rId7" w:history="1">
        <w:r w:rsidR="00A91622" w:rsidRPr="004A5C3D">
          <w:rPr>
            <w:rStyle w:val="Hyperlink"/>
            <w:rFonts w:ascii="MyriadPro-Light" w:hAnsi="MyriadPro-Light" w:cs="MyriadPro-Light"/>
            <w:sz w:val="17"/>
            <w:szCs w:val="17"/>
          </w:rPr>
          <w:t>http://www.atse.org.au/Documents/Publications/Reports/Health%20&amp;%20Tech/ATSE_EAMT_COMMUNIQUE_201112.pdf</w:t>
        </w:r>
      </w:hyperlink>
      <w:r w:rsidR="00A91622">
        <w:rPr>
          <w:rFonts w:ascii="MyriadPro-Light" w:hAnsi="MyriadPro-Light" w:cs="MyriadPro-Light"/>
          <w:color w:val="000000"/>
          <w:sz w:val="17"/>
          <w:szCs w:val="17"/>
        </w:rPr>
        <w:t xml:space="preserve"> </w:t>
      </w:r>
    </w:p>
    <w:p w:rsidR="00212C22" w:rsidRDefault="00212C22" w:rsidP="00E8701C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</w:p>
    <w:p w:rsidR="00E8701C" w:rsidRDefault="00E8701C" w:rsidP="00E8701C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  <w:r>
        <w:rPr>
          <w:rFonts w:ascii="MyriadPro-Light" w:hAnsi="MyriadPro-Light" w:cs="MyriadPro-Light"/>
          <w:color w:val="000000"/>
          <w:sz w:val="17"/>
          <w:szCs w:val="17"/>
        </w:rPr>
        <w:t>The needs and opportunities ide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ntified through the recent ATSE </w:t>
      </w:r>
      <w:r>
        <w:rPr>
          <w:rFonts w:ascii="MyriadPro-Light" w:hAnsi="MyriadPro-Light" w:cs="MyriadPro-Light"/>
          <w:color w:val="000000"/>
          <w:sz w:val="17"/>
          <w:szCs w:val="17"/>
        </w:rPr>
        <w:t>health technology Workshop, based o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n the long experience of a wide </w:t>
      </w:r>
      <w:r>
        <w:rPr>
          <w:rFonts w:ascii="MyriadPro-Light" w:hAnsi="MyriadPro-Light" w:cs="MyriadPro-Light"/>
          <w:color w:val="000000"/>
          <w:sz w:val="17"/>
          <w:szCs w:val="17"/>
        </w:rPr>
        <w:t>range of people associated with serv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>ices to the aged and disability sectors</w:t>
      </w:r>
      <w:r>
        <w:rPr>
          <w:rFonts w:ascii="MyriadPro-Light" w:hAnsi="MyriadPro-Light" w:cs="MyriadPro-Light"/>
          <w:color w:val="000000"/>
          <w:sz w:val="17"/>
          <w:szCs w:val="17"/>
        </w:rPr>
        <w:t xml:space="preserve"> were:</w:t>
      </w:r>
    </w:p>
    <w:p w:rsidR="00E8701C" w:rsidRPr="00212C22" w:rsidRDefault="00E8701C" w:rsidP="00212C2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  <w:r w:rsidRPr="00212C22">
        <w:rPr>
          <w:rFonts w:ascii="MyriadPro-Light" w:hAnsi="MyriadPro-Light" w:cs="MyriadPro-Light"/>
          <w:color w:val="000000"/>
          <w:sz w:val="17"/>
          <w:szCs w:val="17"/>
        </w:rPr>
        <w:t>facilitating connections and information flow between the many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 </w:t>
      </w:r>
      <w:r w:rsidRPr="00212C22">
        <w:rPr>
          <w:rFonts w:ascii="MyriadPro-Light" w:hAnsi="MyriadPro-Light" w:cs="MyriadPro-Light"/>
          <w:color w:val="000000"/>
          <w:sz w:val="17"/>
          <w:szCs w:val="17"/>
        </w:rPr>
        <w:t>players in aged/disability care;</w:t>
      </w:r>
    </w:p>
    <w:p w:rsidR="00E8701C" w:rsidRPr="00212C22" w:rsidRDefault="00E8701C" w:rsidP="00212C2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  <w:r w:rsidRPr="00212C22">
        <w:rPr>
          <w:rFonts w:ascii="MyriadPro-Light" w:hAnsi="MyriadPro-Light" w:cs="MyriadPro-Light"/>
          <w:color w:val="000000"/>
          <w:sz w:val="17"/>
          <w:szCs w:val="17"/>
        </w:rPr>
        <w:t>enhancing the awareness of relevant government agencies of the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 </w:t>
      </w:r>
      <w:r w:rsidRPr="00212C22">
        <w:rPr>
          <w:rFonts w:ascii="MyriadPro-Light" w:hAnsi="MyriadPro-Light" w:cs="MyriadPro-Light"/>
          <w:color w:val="000000"/>
          <w:sz w:val="17"/>
          <w:szCs w:val="17"/>
        </w:rPr>
        <w:t>learning occurring in the industry and opportunities for new approaches;</w:t>
      </w:r>
    </w:p>
    <w:p w:rsidR="00E8701C" w:rsidRPr="00212C22" w:rsidRDefault="00E8701C" w:rsidP="00212C2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  <w:r w:rsidRPr="00212C22">
        <w:rPr>
          <w:rFonts w:ascii="MyriadPro-Light" w:hAnsi="MyriadPro-Light" w:cs="MyriadPro-Light"/>
          <w:color w:val="000000"/>
          <w:sz w:val="17"/>
          <w:szCs w:val="17"/>
        </w:rPr>
        <w:t>building the capacity for coordinated cross-sector initiatives;</w:t>
      </w:r>
    </w:p>
    <w:p w:rsidR="00E8701C" w:rsidRDefault="00E8701C" w:rsidP="00E8701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  <w:r w:rsidRPr="00212C22">
        <w:rPr>
          <w:rFonts w:ascii="MyriadPro-Light" w:hAnsi="MyriadPro-Light" w:cs="MyriadPro-Light"/>
          <w:color w:val="000000"/>
          <w:sz w:val="17"/>
          <w:szCs w:val="17"/>
        </w:rPr>
        <w:t>informing researchers of the real issues that assistive technology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 </w:t>
      </w:r>
      <w:r w:rsidRPr="00212C22">
        <w:rPr>
          <w:rFonts w:ascii="MyriadPro-Light" w:hAnsi="MyriadPro-Light" w:cs="MyriadPro-Light"/>
          <w:color w:val="000000"/>
          <w:sz w:val="17"/>
          <w:szCs w:val="17"/>
        </w:rPr>
        <w:t>needs to address; and</w:t>
      </w:r>
    </w:p>
    <w:p w:rsidR="00E8701C" w:rsidRDefault="00E8701C" w:rsidP="00E8701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  <w:proofErr w:type="gramStart"/>
      <w:r w:rsidRPr="00212C22">
        <w:rPr>
          <w:rFonts w:ascii="MyriadPro-Light" w:hAnsi="MyriadPro-Light" w:cs="MyriadPro-Light"/>
          <w:color w:val="000000"/>
          <w:sz w:val="17"/>
          <w:szCs w:val="17"/>
        </w:rPr>
        <w:t>ensuring</w:t>
      </w:r>
      <w:proofErr w:type="gramEnd"/>
      <w:r w:rsidRPr="00212C22">
        <w:rPr>
          <w:rFonts w:ascii="MyriadPro-Light" w:hAnsi="MyriadPro-Light" w:cs="MyriadPro-Light"/>
          <w:color w:val="000000"/>
          <w:sz w:val="17"/>
          <w:szCs w:val="17"/>
        </w:rPr>
        <w:t xml:space="preserve"> more effective translation of relevant research into practical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 </w:t>
      </w:r>
      <w:r w:rsidRPr="00212C22">
        <w:rPr>
          <w:rFonts w:ascii="MyriadPro-Light" w:hAnsi="MyriadPro-Light" w:cs="MyriadPro-Light"/>
          <w:color w:val="000000"/>
          <w:sz w:val="17"/>
          <w:szCs w:val="17"/>
        </w:rPr>
        <w:t>service delivery.</w:t>
      </w:r>
    </w:p>
    <w:p w:rsidR="00212C22" w:rsidRPr="00212C22" w:rsidRDefault="00212C22" w:rsidP="00212C22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</w:p>
    <w:p w:rsidR="00E8701C" w:rsidRDefault="00E8701C" w:rsidP="00E8701C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  <w:r>
        <w:rPr>
          <w:rFonts w:ascii="MyriadPro-Light" w:hAnsi="MyriadPro-Light" w:cs="MyriadPro-Light"/>
          <w:color w:val="000000"/>
          <w:sz w:val="17"/>
          <w:szCs w:val="17"/>
        </w:rPr>
        <w:t>For our traditional forms of organisat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ion, and systems of governance, </w:t>
      </w:r>
      <w:r>
        <w:rPr>
          <w:rFonts w:ascii="MyriadPro-Light" w:hAnsi="MyriadPro-Light" w:cs="MyriadPro-Light"/>
          <w:color w:val="000000"/>
          <w:sz w:val="17"/>
          <w:szCs w:val="17"/>
        </w:rPr>
        <w:t>designing and delivering such a capabil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ity is a substantial challenge. </w:t>
      </w:r>
      <w:r>
        <w:rPr>
          <w:rFonts w:ascii="MyriadPro-Light" w:hAnsi="MyriadPro-Light" w:cs="MyriadPro-Light"/>
          <w:color w:val="000000"/>
          <w:sz w:val="17"/>
          <w:szCs w:val="17"/>
        </w:rPr>
        <w:t>But with the tools of social n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etworking to hand, and with the </w:t>
      </w:r>
      <w:r>
        <w:rPr>
          <w:rFonts w:ascii="MyriadPro-Light" w:hAnsi="MyriadPro-Light" w:cs="MyriadPro-Light"/>
          <w:color w:val="000000"/>
          <w:sz w:val="17"/>
          <w:szCs w:val="17"/>
        </w:rPr>
        <w:t>enthusiasm of those wishing to see significant changes in the experienc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e </w:t>
      </w:r>
      <w:r>
        <w:rPr>
          <w:rFonts w:ascii="MyriadPro-Light" w:hAnsi="MyriadPro-Light" w:cs="MyriadPro-Light"/>
          <w:color w:val="000000"/>
          <w:sz w:val="17"/>
          <w:szCs w:val="17"/>
        </w:rPr>
        <w:t>of ageing – “Australia leading the world in the way it provides care and</w:t>
      </w:r>
    </w:p>
    <w:p w:rsidR="00E8701C" w:rsidRDefault="00E8701C" w:rsidP="00E8701C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  <w:proofErr w:type="gramStart"/>
      <w:r>
        <w:rPr>
          <w:rFonts w:ascii="MyriadPro-Light" w:hAnsi="MyriadPro-Light" w:cs="MyriadPro-Light"/>
          <w:color w:val="000000"/>
          <w:sz w:val="17"/>
          <w:szCs w:val="17"/>
        </w:rPr>
        <w:t>opportunity</w:t>
      </w:r>
      <w:proofErr w:type="gramEnd"/>
      <w:r>
        <w:rPr>
          <w:rFonts w:ascii="MyriadPro-Light" w:hAnsi="MyriadPro-Light" w:cs="MyriadPro-Light"/>
          <w:color w:val="000000"/>
          <w:sz w:val="17"/>
          <w:szCs w:val="17"/>
        </w:rPr>
        <w:t xml:space="preserve"> for all its citizens” – it is p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ossible to think of new ways to </w:t>
      </w:r>
      <w:r>
        <w:rPr>
          <w:rFonts w:ascii="MyriadPro-Light" w:hAnsi="MyriadPro-Light" w:cs="MyriadPro-Light"/>
          <w:color w:val="000000"/>
          <w:sz w:val="17"/>
          <w:szCs w:val="17"/>
        </w:rPr>
        <w:t xml:space="preserve">connect and empower. This can be achieved 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without loss of accountability, </w:t>
      </w:r>
      <w:r>
        <w:rPr>
          <w:rFonts w:ascii="MyriadPro-Light" w:hAnsi="MyriadPro-Light" w:cs="MyriadPro-Light"/>
          <w:color w:val="000000"/>
          <w:sz w:val="17"/>
          <w:szCs w:val="17"/>
        </w:rPr>
        <w:t>but also without the dead hand of excessive bureaucratic control.</w:t>
      </w:r>
    </w:p>
    <w:p w:rsidR="00212C22" w:rsidRDefault="00212C22" w:rsidP="00E8701C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</w:p>
    <w:p w:rsidR="00E8701C" w:rsidRDefault="00E8701C" w:rsidP="00E8701C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  <w:r>
        <w:rPr>
          <w:rFonts w:ascii="MyriadPro-Light" w:hAnsi="MyriadPro-Light" w:cs="MyriadPro-Light"/>
          <w:color w:val="000000"/>
          <w:sz w:val="17"/>
          <w:szCs w:val="17"/>
        </w:rPr>
        <w:t>The network will be designed to:</w:t>
      </w:r>
    </w:p>
    <w:p w:rsidR="00E8701C" w:rsidRPr="00212C22" w:rsidRDefault="00E8701C" w:rsidP="00212C2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  <w:r w:rsidRPr="00212C22">
        <w:rPr>
          <w:rFonts w:ascii="MyriadPro-Light" w:hAnsi="MyriadPro-Light" w:cs="MyriadPro-Light"/>
          <w:color w:val="000000"/>
          <w:sz w:val="17"/>
          <w:szCs w:val="17"/>
        </w:rPr>
        <w:t>be open, inclusive and user-focused;</w:t>
      </w:r>
    </w:p>
    <w:p w:rsidR="00E8701C" w:rsidRPr="00212C22" w:rsidRDefault="00E8701C" w:rsidP="00212C2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  <w:r w:rsidRPr="00212C22">
        <w:rPr>
          <w:rFonts w:ascii="MyriadPro-Light" w:hAnsi="MyriadPro-Light" w:cs="MyriadPro-Light"/>
          <w:color w:val="000000"/>
          <w:sz w:val="17"/>
          <w:szCs w:val="17"/>
        </w:rPr>
        <w:t>act as a ready source of authoritative information on which to base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 </w:t>
      </w:r>
      <w:r w:rsidRPr="00212C22">
        <w:rPr>
          <w:rFonts w:ascii="MyriadPro-Light" w:hAnsi="MyriadPro-Light" w:cs="MyriadPro-Light"/>
          <w:color w:val="000000"/>
          <w:sz w:val="17"/>
          <w:szCs w:val="17"/>
        </w:rPr>
        <w:t>practice and policy;</w:t>
      </w:r>
    </w:p>
    <w:p w:rsidR="00E8701C" w:rsidRPr="00212C22" w:rsidRDefault="00E8701C" w:rsidP="00212C2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  <w:r w:rsidRPr="00212C22">
        <w:rPr>
          <w:rFonts w:ascii="MyriadPro-Light" w:hAnsi="MyriadPro-Light" w:cs="MyriadPro-Light"/>
          <w:color w:val="000000"/>
          <w:sz w:val="17"/>
          <w:szCs w:val="17"/>
        </w:rPr>
        <w:t>operate as an independent, influential driver of change towards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 </w:t>
      </w:r>
      <w:r w:rsidRPr="00212C22">
        <w:rPr>
          <w:rFonts w:ascii="MyriadPro-Light" w:hAnsi="MyriadPro-Light" w:cs="MyriadPro-Light"/>
          <w:color w:val="000000"/>
          <w:sz w:val="17"/>
          <w:szCs w:val="17"/>
        </w:rPr>
        <w:t>fulfilled ageing for all;</w:t>
      </w:r>
    </w:p>
    <w:p w:rsidR="00E8701C" w:rsidRPr="00212C22" w:rsidRDefault="00E8701C" w:rsidP="00212C2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  <w:r w:rsidRPr="00212C22">
        <w:rPr>
          <w:rFonts w:ascii="MyriadPro-Light" w:hAnsi="MyriadPro-Light" w:cs="MyriadPro-Light"/>
          <w:color w:val="000000"/>
          <w:sz w:val="17"/>
          <w:szCs w:val="17"/>
        </w:rPr>
        <w:t>provide opportunities for trialling new approaches and technologies; and</w:t>
      </w:r>
    </w:p>
    <w:p w:rsidR="00212C22" w:rsidRDefault="00E8701C" w:rsidP="00212C2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  <w:r w:rsidRPr="00212C22">
        <w:rPr>
          <w:rFonts w:ascii="MyriadPro-Light" w:hAnsi="MyriadPro-Light" w:cs="MyriadPro-Light"/>
          <w:color w:val="000000"/>
          <w:sz w:val="17"/>
          <w:szCs w:val="17"/>
        </w:rPr>
        <w:t>facilitate community engagement in improving aged/disability care</w:t>
      </w:r>
    </w:p>
    <w:p w:rsidR="00E8701C" w:rsidRPr="00212C22" w:rsidRDefault="00E8701C" w:rsidP="00212C22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  <w:r w:rsidRPr="00212C22">
        <w:rPr>
          <w:rFonts w:ascii="MyriadPro-Light" w:hAnsi="MyriadPro-Light" w:cs="MyriadPro-Light"/>
          <w:color w:val="000000"/>
          <w:sz w:val="17"/>
          <w:szCs w:val="17"/>
        </w:rPr>
        <w:t>.</w:t>
      </w:r>
    </w:p>
    <w:p w:rsidR="00E8701C" w:rsidRDefault="00E8701C" w:rsidP="00E8701C">
      <w:pPr>
        <w:autoSpaceDE w:val="0"/>
        <w:autoSpaceDN w:val="0"/>
        <w:adjustRightInd w:val="0"/>
        <w:spacing w:after="0" w:line="240" w:lineRule="auto"/>
        <w:rPr>
          <w:rFonts w:ascii="MyriadPro-Light" w:hAnsi="MyriadPro-Light" w:cs="MyriadPro-Light"/>
          <w:color w:val="000000"/>
          <w:sz w:val="17"/>
          <w:szCs w:val="17"/>
        </w:rPr>
      </w:pPr>
      <w:r>
        <w:rPr>
          <w:rFonts w:ascii="MyriadPro-Light" w:hAnsi="MyriadPro-Light" w:cs="MyriadPro-Light"/>
          <w:color w:val="000000"/>
          <w:sz w:val="17"/>
          <w:szCs w:val="17"/>
        </w:rPr>
        <w:t>This is a new kind of initiative from A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TSE. But it has become apparent </w:t>
      </w:r>
      <w:r>
        <w:rPr>
          <w:rFonts w:ascii="MyriadPro-Light" w:hAnsi="MyriadPro-Light" w:cs="MyriadPro-Light"/>
          <w:color w:val="000000"/>
          <w:sz w:val="17"/>
          <w:szCs w:val="17"/>
        </w:rPr>
        <w:t>that while continued support for rese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arch and technology development </w:t>
      </w:r>
      <w:r>
        <w:rPr>
          <w:rFonts w:ascii="MyriadPro-Light" w:hAnsi="MyriadPro-Light" w:cs="MyriadPro-Light"/>
          <w:color w:val="000000"/>
          <w:sz w:val="17"/>
          <w:szCs w:val="17"/>
        </w:rPr>
        <w:t>is imperative, the far more important and diff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icult task is ensuring that the </w:t>
      </w:r>
      <w:r>
        <w:rPr>
          <w:rFonts w:ascii="MyriadPro-Light" w:hAnsi="MyriadPro-Light" w:cs="MyriadPro-Light"/>
          <w:color w:val="000000"/>
          <w:sz w:val="17"/>
          <w:szCs w:val="17"/>
        </w:rPr>
        <w:t>technology is in a form that is easily accessible and can me</w:t>
      </w:r>
      <w:r w:rsidR="00212C22">
        <w:rPr>
          <w:rFonts w:ascii="MyriadPro-Light" w:hAnsi="MyriadPro-Light" w:cs="MyriadPro-Light"/>
          <w:color w:val="000000"/>
          <w:sz w:val="17"/>
          <w:szCs w:val="17"/>
        </w:rPr>
        <w:t xml:space="preserve">et the needs of </w:t>
      </w:r>
      <w:r>
        <w:rPr>
          <w:rFonts w:ascii="MyriadPro-Light" w:hAnsi="MyriadPro-Light" w:cs="MyriadPro-Light"/>
          <w:color w:val="000000"/>
          <w:sz w:val="17"/>
          <w:szCs w:val="17"/>
        </w:rPr>
        <w:t>those it is designed to assist.</w:t>
      </w:r>
    </w:p>
    <w:p w:rsidR="00E8701C" w:rsidRPr="008B4B02" w:rsidRDefault="00E8701C" w:rsidP="00E8701C">
      <w:pPr>
        <w:rPr>
          <w:rFonts w:cs="GaramondPremrPro"/>
          <w:color w:val="325691"/>
          <w:sz w:val="24"/>
          <w:szCs w:val="24"/>
        </w:rPr>
      </w:pPr>
    </w:p>
    <w:p w:rsidR="008B4B02" w:rsidRPr="008B4B02" w:rsidRDefault="008B4B02" w:rsidP="00E8701C">
      <w:r w:rsidRPr="008B4B02">
        <w:rPr>
          <w:rFonts w:cs="GaramondPremrPro"/>
          <w:color w:val="325691"/>
          <w:sz w:val="24"/>
          <w:szCs w:val="24"/>
        </w:rPr>
        <w:t>Published in Focus</w:t>
      </w:r>
      <w:r>
        <w:rPr>
          <w:rFonts w:cs="GaramondPremrPro"/>
          <w:color w:val="325691"/>
          <w:sz w:val="24"/>
          <w:szCs w:val="24"/>
        </w:rPr>
        <w:t>, Number 176, February 2013</w:t>
      </w:r>
    </w:p>
    <w:sectPr w:rsidR="008B4B02" w:rsidRPr="008B4B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Light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PremrPr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35157"/>
    <w:multiLevelType w:val="hybridMultilevel"/>
    <w:tmpl w:val="8B6E92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685A03"/>
    <w:multiLevelType w:val="hybridMultilevel"/>
    <w:tmpl w:val="F89E8F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1C"/>
    <w:rsid w:val="001030D0"/>
    <w:rsid w:val="00212C22"/>
    <w:rsid w:val="003D1926"/>
    <w:rsid w:val="004E472B"/>
    <w:rsid w:val="008B4B02"/>
    <w:rsid w:val="00A91622"/>
    <w:rsid w:val="00E8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C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9162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1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9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2C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9162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1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9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tse.org.au/Documents/Publications/Reports/Health%20&amp;%20Tech/ATSE_EAMT_COMMUNIQUE_201112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Lynne</dc:creator>
  <cp:lastModifiedBy>Lynne</cp:lastModifiedBy>
  <cp:revision>4</cp:revision>
  <dcterms:created xsi:type="dcterms:W3CDTF">2013-02-20T02:31:00Z</dcterms:created>
  <dcterms:modified xsi:type="dcterms:W3CDTF">2013-02-20T03:19:00Z</dcterms:modified>
</cp:coreProperties>
</file>