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01C" w:rsidRDefault="0068601C"/>
    <w:p w:rsidR="0086791B" w:rsidRDefault="0086791B"/>
    <w:p w:rsidR="0086791B" w:rsidRDefault="0086791B"/>
    <w:p w:rsidR="0086791B" w:rsidRDefault="0086791B" w:rsidP="0086791B">
      <w:pPr>
        <w:jc w:val="center"/>
      </w:pPr>
      <w:r>
        <w:t>‘In Pursuit of an Innovation Renaissance’</w:t>
      </w:r>
    </w:p>
    <w:p w:rsidR="0086791B" w:rsidRPr="004252EB" w:rsidRDefault="0086791B" w:rsidP="004010B0">
      <w:pPr>
        <w:spacing w:after="0"/>
        <w:jc w:val="center"/>
        <w:rPr>
          <w:i/>
        </w:rPr>
      </w:pPr>
      <w:r w:rsidRPr="004252EB">
        <w:rPr>
          <w:i/>
        </w:rPr>
        <w:t xml:space="preserve">by </w:t>
      </w:r>
    </w:p>
    <w:p w:rsidR="0086791B" w:rsidRDefault="0086791B" w:rsidP="0086791B">
      <w:pPr>
        <w:spacing w:after="0"/>
        <w:jc w:val="center"/>
      </w:pPr>
      <w:r>
        <w:t>Professor Ron Johnston Executive Director</w:t>
      </w:r>
    </w:p>
    <w:p w:rsidR="0086791B" w:rsidRDefault="0086791B" w:rsidP="0086791B">
      <w:pPr>
        <w:jc w:val="center"/>
      </w:pPr>
      <w:r>
        <w:t>Australian Centre for Innovation</w:t>
      </w:r>
    </w:p>
    <w:p w:rsidR="0086791B" w:rsidRPr="004252EB" w:rsidRDefault="0086791B" w:rsidP="004010B0">
      <w:pPr>
        <w:spacing w:after="0"/>
        <w:jc w:val="center"/>
        <w:rPr>
          <w:i/>
        </w:rPr>
      </w:pPr>
      <w:r w:rsidRPr="004252EB">
        <w:rPr>
          <w:i/>
        </w:rPr>
        <w:t>for</w:t>
      </w:r>
    </w:p>
    <w:p w:rsidR="0086791B" w:rsidRDefault="0086791B" w:rsidP="0086791B">
      <w:pPr>
        <w:spacing w:after="0"/>
        <w:jc w:val="center"/>
      </w:pPr>
      <w:r>
        <w:t>Research Innovation 2016 Conference</w:t>
      </w:r>
    </w:p>
    <w:p w:rsidR="004252EB" w:rsidRDefault="0086791B" w:rsidP="0086791B">
      <w:pPr>
        <w:jc w:val="center"/>
      </w:pPr>
      <w:r>
        <w:t>Sydney, 10 May 2016</w:t>
      </w:r>
    </w:p>
    <w:p w:rsidR="004010B0" w:rsidRDefault="004010B0" w:rsidP="0086791B">
      <w:pPr>
        <w:jc w:val="center"/>
      </w:pPr>
    </w:p>
    <w:p w:rsidR="00D52627" w:rsidRDefault="00D52627" w:rsidP="0086791B">
      <w:pPr>
        <w:jc w:val="center"/>
      </w:pPr>
    </w:p>
    <w:p w:rsidR="00D52627" w:rsidRPr="00D52627" w:rsidRDefault="00D52627" w:rsidP="004252EB">
      <w:pPr>
        <w:spacing w:after="0"/>
        <w:rPr>
          <w:b/>
        </w:rPr>
      </w:pPr>
      <w:r w:rsidRPr="00D52627">
        <w:rPr>
          <w:b/>
        </w:rPr>
        <w:t>Introduction</w:t>
      </w:r>
    </w:p>
    <w:p w:rsidR="00D52627" w:rsidRDefault="00D52627" w:rsidP="004252EB">
      <w:pPr>
        <w:spacing w:after="0"/>
      </w:pPr>
    </w:p>
    <w:p w:rsidR="004252EB" w:rsidRDefault="004252EB" w:rsidP="004252EB">
      <w:pPr>
        <w:spacing w:after="0"/>
      </w:pPr>
      <w:r>
        <w:t>We are faced with a major conundrum</w:t>
      </w:r>
      <w:r w:rsidR="00DE7D83">
        <w:t xml:space="preserve"> in Australia</w:t>
      </w:r>
      <w:r>
        <w:t>. Recent surveys show a strong recognition of the importance of innovation and collaboration:</w:t>
      </w:r>
    </w:p>
    <w:p w:rsidR="00703AA7" w:rsidRPr="004252EB" w:rsidRDefault="00364BA7" w:rsidP="004252EB">
      <w:pPr>
        <w:pStyle w:val="ListParagraph"/>
        <w:numPr>
          <w:ilvl w:val="0"/>
          <w:numId w:val="1"/>
        </w:numPr>
      </w:pPr>
      <w:r w:rsidRPr="004252EB">
        <w:t>More than 80% of Australian business leaders believe innovation is key to a competitive economy and improved productivity</w:t>
      </w:r>
      <w:r w:rsidR="004252EB">
        <w:t>;</w:t>
      </w:r>
    </w:p>
    <w:p w:rsidR="00703AA7" w:rsidRDefault="004252EB" w:rsidP="004252EB">
      <w:pPr>
        <w:pStyle w:val="ListParagraph"/>
        <w:numPr>
          <w:ilvl w:val="0"/>
          <w:numId w:val="1"/>
        </w:numPr>
      </w:pPr>
      <w:r>
        <w:t>92% of these business leaders</w:t>
      </w:r>
      <w:r w:rsidR="00364BA7" w:rsidRPr="004252EB">
        <w:t xml:space="preserve"> also believe their firm would be more successful at innovation through</w:t>
      </w:r>
      <w:r>
        <w:t xml:space="preserve"> engaging in</w:t>
      </w:r>
      <w:r w:rsidR="00364BA7" w:rsidRPr="004252EB">
        <w:t xml:space="preserve"> collaboration</w:t>
      </w:r>
      <w:r>
        <w:t>;</w:t>
      </w:r>
    </w:p>
    <w:p w:rsidR="00703AA7" w:rsidRDefault="004252EB" w:rsidP="004252EB">
      <w:pPr>
        <w:pStyle w:val="ListParagraph"/>
        <w:numPr>
          <w:ilvl w:val="0"/>
          <w:numId w:val="1"/>
        </w:numPr>
      </w:pPr>
      <w:r>
        <w:t xml:space="preserve">Furthermore, </w:t>
      </w:r>
      <w:r w:rsidR="00364BA7" w:rsidRPr="004252EB">
        <w:t>Australian businesses that engage in collaborative innovation with research organisations report a 2.5 fold increase in productivity</w:t>
      </w:r>
      <w:r>
        <w:t>.</w:t>
      </w:r>
    </w:p>
    <w:p w:rsidR="00703AA7" w:rsidRDefault="004252EB" w:rsidP="004252EB">
      <w:r>
        <w:t>But, despite the apparent strength of these views, ABS data shows that o</w:t>
      </w:r>
      <w:r w:rsidR="00364BA7" w:rsidRPr="004252EB">
        <w:t xml:space="preserve">nly 4.5% of innovative Australian </w:t>
      </w:r>
      <w:r>
        <w:t xml:space="preserve">companies (ie those companies that self-identify themselves as innovative) collaborate with </w:t>
      </w:r>
      <w:r w:rsidR="00364BA7" w:rsidRPr="004252EB">
        <w:t>research organisations</w:t>
      </w:r>
      <w:r>
        <w:t>.</w:t>
      </w:r>
    </w:p>
    <w:p w:rsidR="004252EB" w:rsidRDefault="004252EB" w:rsidP="004252EB">
      <w:r>
        <w:t>How can this apparent enormous distance between awareness and action be explained?</w:t>
      </w:r>
    </w:p>
    <w:p w:rsidR="004E4B84" w:rsidRDefault="004E4B84" w:rsidP="004252EB">
      <w:pPr>
        <w:rPr>
          <w:b/>
        </w:rPr>
      </w:pPr>
      <w:r w:rsidRPr="004E4B84">
        <w:rPr>
          <w:b/>
        </w:rPr>
        <w:t>The State of the Australian Innovation System</w:t>
      </w:r>
    </w:p>
    <w:p w:rsidR="004010B0" w:rsidRDefault="004010B0" w:rsidP="004252EB">
      <w:r>
        <w:t>A review of a range of indicators of the health of the national innovation system provides few indications of substantial improvement.</w:t>
      </w:r>
    </w:p>
    <w:p w:rsidR="00DE7D83" w:rsidRDefault="004010B0" w:rsidP="004252EB">
      <w:r>
        <w:t>Gross Expenditure on R&amp;D, as a proportion of GDP, is in steady decline, as is the Government Budget Appropriation for R&amp;D:</w:t>
      </w:r>
    </w:p>
    <w:p w:rsidR="004010B0" w:rsidRDefault="004010B0" w:rsidP="004252EB"/>
    <w:p w:rsidR="004010B0" w:rsidRDefault="004010B0" w:rsidP="004252EB"/>
    <w:p w:rsidR="004010B0" w:rsidRDefault="004010B0" w:rsidP="004252EB"/>
    <w:p w:rsidR="004010B0" w:rsidRDefault="004010B0" w:rsidP="004252EB"/>
    <w:p w:rsidR="004010B0" w:rsidRDefault="004010B0" w:rsidP="004010B0">
      <w:pPr>
        <w:jc w:val="center"/>
      </w:pPr>
      <w:r>
        <w:t>GERD as a % of GDP</w:t>
      </w:r>
    </w:p>
    <w:p w:rsidR="004010B0" w:rsidRDefault="004010B0" w:rsidP="004252EB"/>
    <w:p w:rsidR="004010B0" w:rsidRDefault="004010B0" w:rsidP="004252EB">
      <w:r w:rsidRPr="004010B0">
        <w:rPr>
          <w:noProof/>
          <w:lang w:eastAsia="en-AU"/>
        </w:rPr>
        <w:drawing>
          <wp:inline distT="0" distB="0" distL="0" distR="0" wp14:anchorId="42B0C1B5" wp14:editId="120418FE">
            <wp:extent cx="5076825" cy="1781175"/>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010B0" w:rsidRDefault="004010B0" w:rsidP="004010B0">
      <w:pPr>
        <w:jc w:val="center"/>
      </w:pPr>
      <w:r>
        <w:t>Government Budget Appropriation for R&amp;D</w:t>
      </w:r>
    </w:p>
    <w:p w:rsidR="004010B0" w:rsidRDefault="004010B0" w:rsidP="004252EB">
      <w:r w:rsidRPr="004010B0">
        <w:rPr>
          <w:noProof/>
          <w:lang w:eastAsia="en-AU"/>
        </w:rPr>
        <w:drawing>
          <wp:inline distT="0" distB="0" distL="0" distR="0" wp14:anchorId="176B799F" wp14:editId="11259604">
            <wp:extent cx="5731510" cy="3118652"/>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010B0" w:rsidRDefault="004010B0" w:rsidP="004252EB">
      <w:r>
        <w:t>A metric of particular concern is the proportion of R&amp;D performed in universities that is funded by industry. These data show that the contribution of Australian industry</w:t>
      </w:r>
      <w:r w:rsidR="001F5D00">
        <w:t xml:space="preserve"> is only 4.73%</w:t>
      </w:r>
      <w:r>
        <w:t xml:space="preserve"> is only 2/3 of the OECD average</w:t>
      </w:r>
      <w:r w:rsidR="001F5D00">
        <w:t xml:space="preserve"> (6.87%) </w:t>
      </w:r>
      <w:r>
        <w:t>, and almost four times lower than that for the top 5 OECD nations</w:t>
      </w:r>
      <w:r w:rsidR="001F5D00">
        <w:t xml:space="preserve"> (16.80%). This ranks Australia as 16</w:t>
      </w:r>
      <w:r w:rsidR="001F5D00" w:rsidRPr="001F5D00">
        <w:rPr>
          <w:vertAlign w:val="superscript"/>
        </w:rPr>
        <w:t>th</w:t>
      </w:r>
      <w:r w:rsidR="001F5D00">
        <w:t xml:space="preserve"> out of 30 countries.</w:t>
      </w:r>
    </w:p>
    <w:p w:rsidR="001F5D00" w:rsidRDefault="001F5D00" w:rsidP="004252EB">
      <w:r>
        <w:t>When it comes to business performance, a series of indices reveal that Australia is very much a ‘second division’ country, struggling to stay in the ‘top twenty’:</w:t>
      </w:r>
    </w:p>
    <w:p w:rsidR="001F5D00" w:rsidRDefault="001F5D00">
      <w:r>
        <w:br w:type="page"/>
      </w:r>
    </w:p>
    <w:p w:rsidR="001F5D00" w:rsidRDefault="001F5D00" w:rsidP="001F5D00">
      <w:pPr>
        <w:jc w:val="center"/>
      </w:pPr>
      <w:r>
        <w:lastRenderedPageBreak/>
        <w:t>Key Indicators of Business Performance</w:t>
      </w:r>
    </w:p>
    <w:tbl>
      <w:tblPr>
        <w:tblStyle w:val="TableGrid"/>
        <w:tblW w:w="0" w:type="auto"/>
        <w:tblInd w:w="675" w:type="dxa"/>
        <w:tblLook w:val="04A0" w:firstRow="1" w:lastRow="0" w:firstColumn="1" w:lastColumn="0" w:noHBand="0" w:noVBand="1"/>
      </w:tblPr>
      <w:tblGrid>
        <w:gridCol w:w="3946"/>
        <w:gridCol w:w="2858"/>
      </w:tblGrid>
      <w:tr w:rsidR="001F5D00" w:rsidRPr="001F5D00" w:rsidTr="001F5D00">
        <w:tc>
          <w:tcPr>
            <w:tcW w:w="3946" w:type="dxa"/>
          </w:tcPr>
          <w:p w:rsidR="001F5D00" w:rsidRPr="001F5D00" w:rsidRDefault="001F5D00" w:rsidP="001F5D00">
            <w:pPr>
              <w:jc w:val="center"/>
              <w:rPr>
                <w:b/>
              </w:rPr>
            </w:pPr>
            <w:r w:rsidRPr="001F5D00">
              <w:rPr>
                <w:b/>
              </w:rPr>
              <w:t>Index</w:t>
            </w:r>
          </w:p>
        </w:tc>
        <w:tc>
          <w:tcPr>
            <w:tcW w:w="2858" w:type="dxa"/>
          </w:tcPr>
          <w:p w:rsidR="001F5D00" w:rsidRPr="001F5D00" w:rsidRDefault="001F5D00" w:rsidP="001F5D00">
            <w:pPr>
              <w:jc w:val="center"/>
              <w:rPr>
                <w:b/>
              </w:rPr>
            </w:pPr>
            <w:r w:rsidRPr="001F5D00">
              <w:rPr>
                <w:b/>
              </w:rPr>
              <w:t>Ranking</w:t>
            </w:r>
          </w:p>
        </w:tc>
      </w:tr>
      <w:tr w:rsidR="001F5D00" w:rsidTr="001F5D00">
        <w:tc>
          <w:tcPr>
            <w:tcW w:w="3946" w:type="dxa"/>
          </w:tcPr>
          <w:p w:rsidR="001F5D00" w:rsidRDefault="001F5D00" w:rsidP="001F5D00">
            <w:pPr>
              <w:jc w:val="center"/>
            </w:pPr>
            <w:r w:rsidRPr="001F5D00">
              <w:t>Global Innovation Index</w:t>
            </w:r>
          </w:p>
        </w:tc>
        <w:tc>
          <w:tcPr>
            <w:tcW w:w="2858" w:type="dxa"/>
          </w:tcPr>
          <w:p w:rsidR="001F5D00" w:rsidRDefault="001F5D00" w:rsidP="001F5D00">
            <w:pPr>
              <w:jc w:val="center"/>
            </w:pPr>
            <w:r>
              <w:t>17th</w:t>
            </w:r>
          </w:p>
        </w:tc>
      </w:tr>
      <w:tr w:rsidR="001F5D00" w:rsidTr="001F5D00">
        <w:tc>
          <w:tcPr>
            <w:tcW w:w="3946" w:type="dxa"/>
          </w:tcPr>
          <w:p w:rsidR="001F5D00" w:rsidRDefault="001F5D00" w:rsidP="001F5D00">
            <w:pPr>
              <w:jc w:val="center"/>
            </w:pPr>
            <w:r w:rsidRPr="001F5D00">
              <w:t>Global Competitiveness Index</w:t>
            </w:r>
            <w:r w:rsidR="00F675C5">
              <w:t xml:space="preserve"> (WEF)</w:t>
            </w:r>
          </w:p>
        </w:tc>
        <w:tc>
          <w:tcPr>
            <w:tcW w:w="2858" w:type="dxa"/>
          </w:tcPr>
          <w:p w:rsidR="001F5D00" w:rsidRDefault="001F5D00" w:rsidP="001F5D00">
            <w:pPr>
              <w:jc w:val="center"/>
            </w:pPr>
            <w:r>
              <w:t>22nd</w:t>
            </w:r>
          </w:p>
        </w:tc>
      </w:tr>
      <w:tr w:rsidR="00F675C5" w:rsidTr="001F5D00">
        <w:tc>
          <w:tcPr>
            <w:tcW w:w="3946" w:type="dxa"/>
          </w:tcPr>
          <w:p w:rsidR="00F675C5" w:rsidRPr="001F5D00" w:rsidRDefault="00F675C5" w:rsidP="001F5D00">
            <w:pPr>
              <w:jc w:val="center"/>
            </w:pPr>
            <w:r>
              <w:t>Overall Competitiveness (IMD)</w:t>
            </w:r>
          </w:p>
        </w:tc>
        <w:tc>
          <w:tcPr>
            <w:tcW w:w="2858" w:type="dxa"/>
          </w:tcPr>
          <w:p w:rsidR="00F675C5" w:rsidRDefault="00F675C5" w:rsidP="001F5D00">
            <w:pPr>
              <w:jc w:val="center"/>
            </w:pPr>
            <w:r>
              <w:t>18th</w:t>
            </w:r>
          </w:p>
        </w:tc>
      </w:tr>
      <w:tr w:rsidR="001F5D00" w:rsidTr="001F5D00">
        <w:tc>
          <w:tcPr>
            <w:tcW w:w="3946" w:type="dxa"/>
          </w:tcPr>
          <w:p w:rsidR="001F5D00" w:rsidRDefault="001F5D00" w:rsidP="001F5D00">
            <w:pPr>
              <w:jc w:val="center"/>
            </w:pPr>
            <w:r>
              <w:t>Capacity for Innovation</w:t>
            </w:r>
          </w:p>
        </w:tc>
        <w:tc>
          <w:tcPr>
            <w:tcW w:w="2858" w:type="dxa"/>
          </w:tcPr>
          <w:p w:rsidR="001F5D00" w:rsidRDefault="001F5D00" w:rsidP="001F5D00">
            <w:pPr>
              <w:jc w:val="center"/>
            </w:pPr>
            <w:r>
              <w:t>27th</w:t>
            </w:r>
          </w:p>
        </w:tc>
      </w:tr>
      <w:tr w:rsidR="001F5D00" w:rsidTr="001F5D00">
        <w:tc>
          <w:tcPr>
            <w:tcW w:w="3946" w:type="dxa"/>
          </w:tcPr>
          <w:p w:rsidR="001F5D00" w:rsidRDefault="00F675C5" w:rsidP="001F5D00">
            <w:pPr>
              <w:jc w:val="center"/>
            </w:pPr>
            <w:r w:rsidRPr="001F5D00">
              <w:t>Technology Readiness</w:t>
            </w:r>
          </w:p>
        </w:tc>
        <w:tc>
          <w:tcPr>
            <w:tcW w:w="2858" w:type="dxa"/>
          </w:tcPr>
          <w:p w:rsidR="001F5D00" w:rsidRDefault="00F675C5" w:rsidP="001F5D00">
            <w:pPr>
              <w:jc w:val="center"/>
            </w:pPr>
            <w:r>
              <w:t>19th</w:t>
            </w:r>
          </w:p>
        </w:tc>
      </w:tr>
      <w:tr w:rsidR="001F5D00" w:rsidTr="001F5D00">
        <w:tc>
          <w:tcPr>
            <w:tcW w:w="3946" w:type="dxa"/>
          </w:tcPr>
          <w:p w:rsidR="001F5D00" w:rsidRDefault="00F675C5" w:rsidP="00F675C5">
            <w:pPr>
              <w:jc w:val="center"/>
            </w:pPr>
            <w:r>
              <w:t>Business Sophistication</w:t>
            </w:r>
          </w:p>
        </w:tc>
        <w:tc>
          <w:tcPr>
            <w:tcW w:w="2858" w:type="dxa"/>
          </w:tcPr>
          <w:p w:rsidR="001F5D00" w:rsidRDefault="00F675C5" w:rsidP="00F675C5">
            <w:pPr>
              <w:jc w:val="center"/>
            </w:pPr>
            <w:r>
              <w:t>27th</w:t>
            </w:r>
          </w:p>
        </w:tc>
      </w:tr>
      <w:tr w:rsidR="001F5D00" w:rsidTr="001F5D00">
        <w:tc>
          <w:tcPr>
            <w:tcW w:w="3946" w:type="dxa"/>
          </w:tcPr>
          <w:p w:rsidR="001F5D00" w:rsidRDefault="00F675C5" w:rsidP="00F675C5">
            <w:pPr>
              <w:jc w:val="center"/>
            </w:pPr>
            <w:r>
              <w:t>Global Connectedness Ranking</w:t>
            </w:r>
          </w:p>
        </w:tc>
        <w:tc>
          <w:tcPr>
            <w:tcW w:w="2858" w:type="dxa"/>
          </w:tcPr>
          <w:p w:rsidR="001F5D00" w:rsidRDefault="00F675C5" w:rsidP="00F675C5">
            <w:pPr>
              <w:jc w:val="center"/>
            </w:pPr>
            <w:r>
              <w:t>32nd</w:t>
            </w:r>
          </w:p>
        </w:tc>
      </w:tr>
      <w:tr w:rsidR="00E4093D" w:rsidTr="001F5D00">
        <w:tc>
          <w:tcPr>
            <w:tcW w:w="3946" w:type="dxa"/>
          </w:tcPr>
          <w:p w:rsidR="00E4093D" w:rsidRDefault="00E4093D" w:rsidP="00F675C5">
            <w:pPr>
              <w:jc w:val="center"/>
            </w:pPr>
            <w:r>
              <w:t>Doing Business (World Bank)</w:t>
            </w:r>
          </w:p>
        </w:tc>
        <w:tc>
          <w:tcPr>
            <w:tcW w:w="2858" w:type="dxa"/>
          </w:tcPr>
          <w:p w:rsidR="00E4093D" w:rsidRDefault="00E4093D" w:rsidP="00F675C5">
            <w:pPr>
              <w:jc w:val="center"/>
            </w:pPr>
            <w:r>
              <w:t>13th</w:t>
            </w:r>
          </w:p>
        </w:tc>
      </w:tr>
    </w:tbl>
    <w:p w:rsidR="001F5D00" w:rsidRDefault="001F5D00" w:rsidP="004252EB"/>
    <w:p w:rsidR="00703AA7" w:rsidRPr="001F5D00" w:rsidRDefault="00F675C5" w:rsidP="00513388">
      <w:r>
        <w:t xml:space="preserve">Of particular concern is the performance of the </w:t>
      </w:r>
      <w:r w:rsidRPr="001F5D00">
        <w:t>Professional, Scientific and Technical Sector</w:t>
      </w:r>
      <w:r>
        <w:t>, which m</w:t>
      </w:r>
      <w:r w:rsidR="00513388">
        <w:t>ight be expect</w:t>
      </w:r>
      <w:r>
        <w:t>ed to</w:t>
      </w:r>
      <w:r w:rsidR="00513388">
        <w:t xml:space="preserve"> be based on a great deal of technological innovation, and which is the second largest industry sector performer of R&amp;D, at 4% of industry gross value added. In the year 2014-15, this GVA declined by 4.8%, and the m</w:t>
      </w:r>
      <w:r w:rsidR="00364BA7" w:rsidRPr="001F5D00">
        <w:t xml:space="preserve">ulti-factor productivity </w:t>
      </w:r>
      <w:r w:rsidR="00513388">
        <w:t>declined by 5%. These are signs of an industry sector in serious decline.</w:t>
      </w:r>
    </w:p>
    <w:p w:rsidR="00BE65BC" w:rsidRDefault="00D52627">
      <w:r>
        <w:rPr>
          <w:b/>
        </w:rPr>
        <w:t>Initiatives</w:t>
      </w:r>
      <w:r w:rsidR="00BE65BC" w:rsidRPr="00BE65BC">
        <w:rPr>
          <w:b/>
        </w:rPr>
        <w:t xml:space="preserve"> to Address the Weaknesses in our Innovation System</w:t>
      </w:r>
    </w:p>
    <w:p w:rsidR="0075561D" w:rsidRDefault="00BE65BC">
      <w:r>
        <w:t>Much has been written about the inadequacies of our research organisations in commercialising their ideas and engaging with industry</w:t>
      </w:r>
      <w:r w:rsidR="00BC424F">
        <w:t>, particularly in Government inquiries and submissions to them</w:t>
      </w:r>
      <w:r>
        <w:t>.</w:t>
      </w:r>
      <w:r w:rsidR="00E86432">
        <w:t xml:space="preserve"> </w:t>
      </w:r>
      <w:r w:rsidR="00BC424F">
        <w:t xml:space="preserve">The familiar list of issues includes over-valuation of IP, slowness in decision-making, and lack of understanding of business challenges and processes.  </w:t>
      </w:r>
      <w:r w:rsidR="007955A9">
        <w:t xml:space="preserve">The concerns are undoubtedly justified. </w:t>
      </w:r>
      <w:r w:rsidR="0075561D">
        <w:t>However</w:t>
      </w:r>
      <w:r w:rsidR="007955A9">
        <w:t xml:space="preserve"> there is evidence of significant shifts in at least some universities to radically enhance their industry engagement. </w:t>
      </w:r>
      <w:r w:rsidR="007955A9">
        <w:rPr>
          <w:rStyle w:val="FootnoteReference"/>
        </w:rPr>
        <w:footnoteReference w:id="1"/>
      </w:r>
      <w:r w:rsidR="0075561D">
        <w:t xml:space="preserve"> </w:t>
      </w:r>
    </w:p>
    <w:p w:rsidR="007955A9" w:rsidRDefault="0075561D">
      <w:r>
        <w:t>But we can make only limited progress by pushing string up hill. The missing ingredient is demand from industry for the knowledge that researchers produce. The structure of our economy, dominated as it is by an oligopoly of banks, miners and sup</w:t>
      </w:r>
      <w:r w:rsidR="00D52627">
        <w:t xml:space="preserve">ermarkets does not produce the </w:t>
      </w:r>
      <w:r>
        <w:t>drive for innovation found in smart manufacturing, biomedicine and information technology. The appropriate companies for researchers in A</w:t>
      </w:r>
      <w:r w:rsidR="00D52627">
        <w:t>ustralia to collaborate with ar</w:t>
      </w:r>
      <w:r>
        <w:t xml:space="preserve"> , more often than not, overseas based.</w:t>
      </w:r>
    </w:p>
    <w:p w:rsidR="001346EC" w:rsidRDefault="001346EC">
      <w:r>
        <w:t>In this context, what can be done?</w:t>
      </w:r>
    </w:p>
    <w:p w:rsidR="001346EC" w:rsidRPr="00C9110F" w:rsidRDefault="00C9110F">
      <w:pPr>
        <w:rPr>
          <w:b/>
          <w:i/>
        </w:rPr>
      </w:pPr>
      <w:r w:rsidRPr="00C9110F">
        <w:rPr>
          <w:b/>
          <w:i/>
        </w:rPr>
        <w:t>Bring scale to the Innovation infrastructure</w:t>
      </w:r>
    </w:p>
    <w:p w:rsidR="00623BE2" w:rsidRDefault="00623BE2">
      <w:r>
        <w:t>There is a fundamental problem of achieving necessary scale in the Australian Innovation Infrastructure. Despite our proud record of economic and population growth, we remain a relatively small country in terms of GDP and in particular population.</w:t>
      </w:r>
      <w:r w:rsidR="00663C2B">
        <w:t xml:space="preserve"> </w:t>
      </w:r>
    </w:p>
    <w:p w:rsidR="0058224C" w:rsidRDefault="00623BE2">
      <w:pPr>
        <w:rPr>
          <w:rFonts w:ascii="Arial" w:hAnsi="Arial" w:cs="Arial"/>
          <w:color w:val="000000"/>
          <w:sz w:val="18"/>
          <w:szCs w:val="18"/>
          <w:shd w:val="clear" w:color="auto" w:fill="F9F9F9"/>
        </w:rPr>
      </w:pPr>
      <w:r>
        <w:t>What is the record of small countries achieving global economic competitiveness? The economy of Switzerland, ranked 20</w:t>
      </w:r>
      <w:r w:rsidRPr="00623BE2">
        <w:rPr>
          <w:vertAlign w:val="superscript"/>
        </w:rPr>
        <w:t>th</w:t>
      </w:r>
      <w:r>
        <w:t xml:space="preserve"> by GDP</w:t>
      </w:r>
      <w:r w:rsidR="0058224C">
        <w:t xml:space="preserve"> and with a population of 8 million</w:t>
      </w:r>
      <w:r>
        <w:t>, but with a very high national income per person, is concentrated in pharmaceuticals, chemicals, watches</w:t>
      </w:r>
      <w:r>
        <w:rPr>
          <w:rFonts w:ascii="Arial" w:hAnsi="Arial" w:cs="Arial"/>
          <w:color w:val="000000"/>
          <w:sz w:val="18"/>
          <w:szCs w:val="18"/>
          <w:shd w:val="clear" w:color="auto" w:fill="F9F9F9"/>
        </w:rPr>
        <w:t>, precision instruments, tourism, and banking and insurance</w:t>
      </w:r>
      <w:r w:rsidR="0058224C">
        <w:rPr>
          <w:rFonts w:ascii="Arial" w:hAnsi="Arial" w:cs="Arial"/>
          <w:color w:val="000000"/>
          <w:sz w:val="18"/>
          <w:szCs w:val="18"/>
          <w:shd w:val="clear" w:color="auto" w:fill="F9F9F9"/>
        </w:rPr>
        <w:t xml:space="preserve">. </w:t>
      </w:r>
    </w:p>
    <w:p w:rsidR="00A74B4D" w:rsidRDefault="0058224C" w:rsidP="00A74B4D">
      <w:pPr>
        <w:spacing w:before="120" w:after="120" w:line="360" w:lineRule="atLeast"/>
        <w:rPr>
          <w:rFonts w:ascii="Arial" w:hAnsi="Arial" w:cs="Arial"/>
          <w:color w:val="000000"/>
          <w:sz w:val="18"/>
          <w:szCs w:val="18"/>
          <w:shd w:val="clear" w:color="auto" w:fill="F9F9F9"/>
        </w:rPr>
      </w:pPr>
      <w:r>
        <w:rPr>
          <w:rFonts w:ascii="Arial" w:eastAsia="Times New Roman" w:hAnsi="Arial" w:cs="Arial"/>
          <w:sz w:val="18"/>
          <w:szCs w:val="18"/>
          <w:lang w:eastAsia="en-AU"/>
        </w:rPr>
        <w:lastRenderedPageBreak/>
        <w:t>Luxembourg, an even smaller country with a population of less than 1 million and 100</w:t>
      </w:r>
      <w:r w:rsidRPr="0058224C">
        <w:rPr>
          <w:rFonts w:ascii="Arial" w:eastAsia="Times New Roman" w:hAnsi="Arial" w:cs="Arial"/>
          <w:sz w:val="18"/>
          <w:szCs w:val="18"/>
          <w:vertAlign w:val="superscript"/>
          <w:lang w:eastAsia="en-AU"/>
        </w:rPr>
        <w:t>th</w:t>
      </w:r>
      <w:r>
        <w:rPr>
          <w:rFonts w:ascii="Arial" w:eastAsia="Times New Roman" w:hAnsi="Arial" w:cs="Arial"/>
          <w:sz w:val="18"/>
          <w:szCs w:val="18"/>
          <w:lang w:eastAsia="en-AU"/>
        </w:rPr>
        <w:t xml:space="preserve"> by GDP size, has a remarkable leading position in </w:t>
      </w:r>
      <w:r>
        <w:rPr>
          <w:rFonts w:ascii="Arial" w:hAnsi="Arial" w:cs="Arial"/>
          <w:color w:val="000000"/>
          <w:sz w:val="18"/>
          <w:szCs w:val="18"/>
          <w:shd w:val="clear" w:color="auto" w:fill="F9F9F9"/>
        </w:rPr>
        <w:t>banking and financial services, information technology, telecommunications, cargo transportation, food processing, chemicals, metal products and engineering. It has positioned itself as a leading player in a future space mining industry.</w:t>
      </w:r>
    </w:p>
    <w:p w:rsidR="0058224C" w:rsidRDefault="007F6521" w:rsidP="00A74B4D">
      <w:pPr>
        <w:spacing w:before="120" w:after="120" w:line="360" w:lineRule="atLeast"/>
        <w:rPr>
          <w:rFonts w:ascii="Arial" w:eastAsia="Times New Roman" w:hAnsi="Arial" w:cs="Arial"/>
          <w:sz w:val="18"/>
          <w:szCs w:val="18"/>
          <w:lang w:eastAsia="en-AU"/>
        </w:rPr>
      </w:pPr>
      <w:hyperlink r:id="rId11" w:tooltip="Mining" w:history="1">
        <w:r w:rsidR="0058224C">
          <w:rPr>
            <w:rFonts w:ascii="Arial" w:eastAsia="Times New Roman" w:hAnsi="Arial" w:cs="Arial"/>
            <w:sz w:val="18"/>
            <w:szCs w:val="18"/>
            <w:lang w:eastAsia="en-AU"/>
          </w:rPr>
          <w:t xml:space="preserve">In </w:t>
        </w:r>
        <w:r w:rsidR="009D3E3F">
          <w:rPr>
            <w:rFonts w:ascii="Arial" w:eastAsia="Times New Roman" w:hAnsi="Arial" w:cs="Arial"/>
            <w:sz w:val="18"/>
            <w:szCs w:val="18"/>
            <w:lang w:eastAsia="en-AU"/>
          </w:rPr>
          <w:t>contras</w:t>
        </w:r>
        <w:r w:rsidR="0058224C">
          <w:rPr>
            <w:rFonts w:ascii="Arial" w:eastAsia="Times New Roman" w:hAnsi="Arial" w:cs="Arial"/>
            <w:sz w:val="18"/>
            <w:szCs w:val="18"/>
            <w:lang w:eastAsia="en-AU"/>
          </w:rPr>
          <w:t xml:space="preserve">t, the </w:t>
        </w:r>
        <w:r w:rsidR="0058224C" w:rsidRPr="0058224C">
          <w:rPr>
            <w:rFonts w:ascii="Arial" w:eastAsia="Times New Roman" w:hAnsi="Arial" w:cs="Arial"/>
            <w:sz w:val="18"/>
            <w:szCs w:val="18"/>
            <w:lang w:eastAsia="en-AU"/>
          </w:rPr>
          <w:t>Australia</w:t>
        </w:r>
        <w:r w:rsidR="0058224C">
          <w:rPr>
            <w:rFonts w:ascii="Arial" w:eastAsia="Times New Roman" w:hAnsi="Arial" w:cs="Arial"/>
            <w:sz w:val="18"/>
            <w:szCs w:val="18"/>
            <w:lang w:eastAsia="en-AU"/>
          </w:rPr>
          <w:t>n economy</w:t>
        </w:r>
        <w:r w:rsidR="0058224C" w:rsidRPr="0058224C">
          <w:rPr>
            <w:rFonts w:ascii="Arial" w:eastAsia="Times New Roman" w:hAnsi="Arial" w:cs="Arial"/>
            <w:sz w:val="18"/>
            <w:szCs w:val="18"/>
            <w:lang w:eastAsia="en-AU"/>
          </w:rPr>
          <w:t>, ranked 12</w:t>
        </w:r>
        <w:r w:rsidR="0058224C" w:rsidRPr="0058224C">
          <w:rPr>
            <w:rFonts w:ascii="Arial" w:eastAsia="Times New Roman" w:hAnsi="Arial" w:cs="Arial"/>
            <w:sz w:val="18"/>
            <w:szCs w:val="18"/>
            <w:vertAlign w:val="superscript"/>
            <w:lang w:eastAsia="en-AU"/>
          </w:rPr>
          <w:t>th</w:t>
        </w:r>
        <w:r w:rsidR="0058224C" w:rsidRPr="0058224C">
          <w:rPr>
            <w:rFonts w:ascii="Arial" w:eastAsia="Times New Roman" w:hAnsi="Arial" w:cs="Arial"/>
            <w:sz w:val="18"/>
            <w:szCs w:val="18"/>
            <w:lang w:eastAsia="en-AU"/>
          </w:rPr>
          <w:t xml:space="preserve"> by GDP </w:t>
        </w:r>
        <w:r w:rsidR="0058224C">
          <w:rPr>
            <w:rFonts w:ascii="Arial" w:eastAsia="Times New Roman" w:hAnsi="Arial" w:cs="Arial"/>
            <w:sz w:val="18"/>
            <w:szCs w:val="18"/>
            <w:lang w:eastAsia="en-AU"/>
          </w:rPr>
          <w:t xml:space="preserve">is spread across the ‘old’ industrial sectors of </w:t>
        </w:r>
        <w:r w:rsidR="0058224C" w:rsidRPr="0058224C">
          <w:rPr>
            <w:rFonts w:ascii="Arial" w:eastAsia="Times New Roman" w:hAnsi="Arial" w:cs="Arial"/>
            <w:sz w:val="18"/>
            <w:szCs w:val="18"/>
            <w:lang w:eastAsia="en-AU"/>
          </w:rPr>
          <w:t>mining</w:t>
        </w:r>
      </w:hyperlink>
      <w:r w:rsidR="0058224C" w:rsidRPr="0058224C">
        <w:rPr>
          <w:rFonts w:ascii="Arial" w:eastAsia="Times New Roman" w:hAnsi="Arial" w:cs="Arial"/>
          <w:sz w:val="18"/>
          <w:szCs w:val="18"/>
          <w:lang w:eastAsia="en-AU"/>
        </w:rPr>
        <w:t>, industrial and transportation equipment, </w:t>
      </w:r>
      <w:hyperlink r:id="rId12" w:tooltip="Food processing" w:history="1">
        <w:r w:rsidR="0058224C" w:rsidRPr="0058224C">
          <w:rPr>
            <w:rFonts w:ascii="Arial" w:eastAsia="Times New Roman" w:hAnsi="Arial" w:cs="Arial"/>
            <w:sz w:val="18"/>
            <w:szCs w:val="18"/>
            <w:lang w:eastAsia="en-AU"/>
          </w:rPr>
          <w:t>food processing</w:t>
        </w:r>
      </w:hyperlink>
      <w:r w:rsidR="0058224C" w:rsidRPr="0058224C">
        <w:rPr>
          <w:rFonts w:ascii="Arial" w:eastAsia="Times New Roman" w:hAnsi="Arial" w:cs="Arial"/>
          <w:sz w:val="18"/>
          <w:szCs w:val="18"/>
          <w:lang w:eastAsia="en-AU"/>
        </w:rPr>
        <w:t>, </w:t>
      </w:r>
      <w:hyperlink r:id="rId13" w:tooltip="Chemicals" w:history="1">
        <w:r w:rsidR="0058224C" w:rsidRPr="0058224C">
          <w:rPr>
            <w:rFonts w:ascii="Arial" w:eastAsia="Times New Roman" w:hAnsi="Arial" w:cs="Arial"/>
            <w:sz w:val="18"/>
            <w:szCs w:val="18"/>
            <w:lang w:eastAsia="en-AU"/>
          </w:rPr>
          <w:t>chemicals</w:t>
        </w:r>
      </w:hyperlink>
      <w:r w:rsidR="0058224C" w:rsidRPr="0058224C">
        <w:rPr>
          <w:rFonts w:ascii="Arial" w:eastAsia="Times New Roman" w:hAnsi="Arial" w:cs="Arial"/>
          <w:sz w:val="18"/>
          <w:szCs w:val="18"/>
          <w:lang w:eastAsia="en-AU"/>
        </w:rPr>
        <w:t>,</w:t>
      </w:r>
      <w:r w:rsidR="0058224C">
        <w:rPr>
          <w:rFonts w:ascii="Arial" w:eastAsia="Times New Roman" w:hAnsi="Arial" w:cs="Arial"/>
          <w:sz w:val="18"/>
          <w:szCs w:val="18"/>
          <w:lang w:eastAsia="en-AU"/>
        </w:rPr>
        <w:t xml:space="preserve"> and </w:t>
      </w:r>
      <w:hyperlink r:id="rId14" w:tooltip="Steel" w:history="1">
        <w:r w:rsidR="0058224C" w:rsidRPr="0058224C">
          <w:rPr>
            <w:rFonts w:ascii="Arial" w:eastAsia="Times New Roman" w:hAnsi="Arial" w:cs="Arial"/>
            <w:sz w:val="18"/>
            <w:szCs w:val="18"/>
            <w:lang w:eastAsia="en-AU"/>
          </w:rPr>
          <w:t>steel</w:t>
        </w:r>
      </w:hyperlink>
      <w:r w:rsidR="0058224C">
        <w:rPr>
          <w:rFonts w:ascii="Arial" w:eastAsia="Times New Roman" w:hAnsi="Arial" w:cs="Arial"/>
          <w:sz w:val="18"/>
          <w:szCs w:val="18"/>
          <w:lang w:eastAsia="en-AU"/>
        </w:rPr>
        <w:t>.</w:t>
      </w:r>
      <w:r w:rsidR="00A74B4D">
        <w:rPr>
          <w:rFonts w:ascii="Arial" w:eastAsia="Times New Roman" w:hAnsi="Arial" w:cs="Arial"/>
          <w:sz w:val="18"/>
          <w:szCs w:val="18"/>
          <w:lang w:eastAsia="en-AU"/>
        </w:rPr>
        <w:t xml:space="preserve"> </w:t>
      </w:r>
      <w:r w:rsidR="00831BEF">
        <w:rPr>
          <w:rFonts w:ascii="Arial" w:eastAsia="Times New Roman" w:hAnsi="Arial" w:cs="Arial"/>
          <w:sz w:val="18"/>
          <w:szCs w:val="18"/>
          <w:lang w:eastAsia="en-AU"/>
        </w:rPr>
        <w:t xml:space="preserve">More profoundly, we have succumbed to the narrow economist’s belief of an effectively operating market, with its requirements of freely available </w:t>
      </w:r>
      <w:r w:rsidR="009D3E3F">
        <w:rPr>
          <w:rFonts w:ascii="Arial" w:eastAsia="Times New Roman" w:hAnsi="Arial" w:cs="Arial"/>
          <w:sz w:val="18"/>
          <w:szCs w:val="18"/>
          <w:lang w:eastAsia="en-AU"/>
        </w:rPr>
        <w:t>information, on which basis companies will make appropriate investments to pursue opportunities. The limitations of small economies render these assumptions heroic. But any consideration of a focus of our limited resources is met with a shrill accusation of ‘picking winners’.</w:t>
      </w:r>
      <w:r w:rsidR="009D3E3F">
        <w:rPr>
          <w:rStyle w:val="FootnoteReference"/>
          <w:rFonts w:ascii="Arial" w:eastAsia="Times New Roman" w:hAnsi="Arial" w:cs="Arial"/>
          <w:sz w:val="18"/>
          <w:szCs w:val="18"/>
          <w:lang w:eastAsia="en-AU"/>
        </w:rPr>
        <w:footnoteReference w:id="2"/>
      </w:r>
    </w:p>
    <w:p w:rsidR="009D3E3F" w:rsidRDefault="009D3E3F" w:rsidP="00A74B4D">
      <w:pPr>
        <w:spacing w:before="120" w:after="120" w:line="360" w:lineRule="atLeast"/>
        <w:rPr>
          <w:rFonts w:ascii="Arial" w:eastAsia="Times New Roman" w:hAnsi="Arial" w:cs="Arial"/>
          <w:sz w:val="18"/>
          <w:szCs w:val="18"/>
          <w:lang w:eastAsia="en-AU"/>
        </w:rPr>
      </w:pPr>
      <w:r>
        <w:rPr>
          <w:rFonts w:ascii="Arial" w:eastAsia="Times New Roman" w:hAnsi="Arial" w:cs="Arial"/>
          <w:sz w:val="18"/>
          <w:szCs w:val="18"/>
          <w:lang w:eastAsia="en-AU"/>
        </w:rPr>
        <w:t>The historical consequence has been a growth in mining and agriculture, where comparative advantage is strong. But apart from the all too familiar handful of high performing companies, we have grown remarkably few new industry sectors based on the creation of</w:t>
      </w:r>
      <w:r w:rsidR="00BF5518">
        <w:rPr>
          <w:rFonts w:ascii="Arial" w:eastAsia="Times New Roman" w:hAnsi="Arial" w:cs="Arial"/>
          <w:sz w:val="18"/>
          <w:szCs w:val="18"/>
          <w:lang w:eastAsia="en-AU"/>
        </w:rPr>
        <w:t xml:space="preserve"> local competitive advantage.</w:t>
      </w:r>
    </w:p>
    <w:p w:rsidR="00BF5518" w:rsidRDefault="00BF5518" w:rsidP="00A74B4D">
      <w:pPr>
        <w:spacing w:before="120" w:after="120" w:line="360" w:lineRule="atLeast"/>
        <w:rPr>
          <w:rFonts w:ascii="Arial" w:eastAsia="Times New Roman" w:hAnsi="Arial" w:cs="Arial"/>
          <w:sz w:val="18"/>
          <w:szCs w:val="18"/>
          <w:lang w:eastAsia="en-AU"/>
        </w:rPr>
      </w:pPr>
      <w:r>
        <w:rPr>
          <w:rFonts w:ascii="Arial" w:eastAsia="Times New Roman" w:hAnsi="Arial" w:cs="Arial"/>
          <w:sz w:val="18"/>
          <w:szCs w:val="18"/>
          <w:lang w:eastAsia="en-AU"/>
        </w:rPr>
        <w:t>This inadequacy of scale is reflected in patterns of limited, in both value and length of time, government investment in key innovation infrastructure.</w:t>
      </w:r>
      <w:r w:rsidR="006C40B4">
        <w:rPr>
          <w:rFonts w:ascii="Arial" w:eastAsia="Times New Roman" w:hAnsi="Arial" w:cs="Arial"/>
          <w:sz w:val="18"/>
          <w:szCs w:val="18"/>
          <w:lang w:eastAsia="en-AU"/>
        </w:rPr>
        <w:t xml:space="preserve"> </w:t>
      </w:r>
      <w:r w:rsidR="00490956">
        <w:rPr>
          <w:rFonts w:ascii="Arial" w:eastAsia="Times New Roman" w:hAnsi="Arial" w:cs="Arial"/>
          <w:sz w:val="18"/>
          <w:szCs w:val="18"/>
          <w:lang w:eastAsia="en-AU"/>
        </w:rPr>
        <w:t>Consider just three examples:</w:t>
      </w:r>
    </w:p>
    <w:p w:rsidR="00A848A0" w:rsidRDefault="00490956" w:rsidP="00490956">
      <w:pPr>
        <w:numPr>
          <w:ilvl w:val="0"/>
          <w:numId w:val="7"/>
        </w:numPr>
        <w:spacing w:before="120" w:after="120" w:line="360" w:lineRule="atLeast"/>
        <w:rPr>
          <w:rFonts w:ascii="Arial" w:eastAsia="Times New Roman" w:hAnsi="Arial" w:cs="Arial"/>
          <w:sz w:val="18"/>
          <w:szCs w:val="18"/>
          <w:lang w:eastAsia="en-AU"/>
        </w:rPr>
      </w:pPr>
      <w:r>
        <w:rPr>
          <w:rFonts w:ascii="Arial" w:eastAsia="Times New Roman" w:hAnsi="Arial" w:cs="Arial"/>
          <w:sz w:val="18"/>
          <w:szCs w:val="18"/>
          <w:lang w:eastAsia="en-AU"/>
        </w:rPr>
        <w:t>The Cooperative Research Centre Program - twenty</w:t>
      </w:r>
      <w:r w:rsidR="00C3343C" w:rsidRPr="00490956">
        <w:rPr>
          <w:rFonts w:ascii="Arial" w:eastAsia="Times New Roman" w:hAnsi="Arial" w:cs="Arial"/>
          <w:sz w:val="18"/>
          <w:szCs w:val="18"/>
          <w:lang w:eastAsia="en-AU"/>
        </w:rPr>
        <w:t xml:space="preserve"> years of investment in and </w:t>
      </w:r>
      <w:r>
        <w:rPr>
          <w:rFonts w:ascii="Arial" w:eastAsia="Times New Roman" w:hAnsi="Arial" w:cs="Arial"/>
          <w:sz w:val="18"/>
          <w:szCs w:val="18"/>
          <w:lang w:eastAsia="en-AU"/>
        </w:rPr>
        <w:t xml:space="preserve">almost continuous </w:t>
      </w:r>
      <w:r w:rsidR="00C3343C" w:rsidRPr="00490956">
        <w:rPr>
          <w:rFonts w:ascii="Arial" w:eastAsia="Times New Roman" w:hAnsi="Arial" w:cs="Arial"/>
          <w:sz w:val="18"/>
          <w:szCs w:val="18"/>
          <w:lang w:eastAsia="en-AU"/>
        </w:rPr>
        <w:t xml:space="preserve">review of the </w:t>
      </w:r>
      <w:r>
        <w:rPr>
          <w:rFonts w:ascii="Arial" w:eastAsia="Times New Roman" w:hAnsi="Arial" w:cs="Arial"/>
          <w:sz w:val="18"/>
          <w:szCs w:val="18"/>
          <w:lang w:eastAsia="en-AU"/>
        </w:rPr>
        <w:t>CRC</w:t>
      </w:r>
      <w:r w:rsidR="00C3343C" w:rsidRPr="00490956">
        <w:rPr>
          <w:rFonts w:ascii="Arial" w:eastAsia="Times New Roman" w:hAnsi="Arial" w:cs="Arial"/>
          <w:sz w:val="18"/>
          <w:szCs w:val="18"/>
          <w:lang w:eastAsia="en-AU"/>
        </w:rPr>
        <w:t xml:space="preserve"> Program</w:t>
      </w:r>
      <w:r>
        <w:rPr>
          <w:rFonts w:ascii="Arial" w:eastAsia="Times New Roman" w:hAnsi="Arial" w:cs="Arial"/>
          <w:sz w:val="18"/>
          <w:szCs w:val="18"/>
          <w:lang w:eastAsia="en-AU"/>
        </w:rPr>
        <w:t xml:space="preserve"> has shown</w:t>
      </w:r>
      <w:r w:rsidR="00C3343C" w:rsidRPr="00490956">
        <w:rPr>
          <w:rFonts w:ascii="Arial" w:eastAsia="Times New Roman" w:hAnsi="Arial" w:cs="Arial"/>
          <w:sz w:val="18"/>
          <w:szCs w:val="18"/>
          <w:lang w:eastAsia="en-AU"/>
        </w:rPr>
        <w:t xml:space="preserve"> a </w:t>
      </w:r>
      <w:r>
        <w:rPr>
          <w:rFonts w:ascii="Arial" w:eastAsia="Times New Roman" w:hAnsi="Arial" w:cs="Arial"/>
          <w:sz w:val="18"/>
          <w:szCs w:val="18"/>
          <w:lang w:eastAsia="en-AU"/>
        </w:rPr>
        <w:t>very strong flow of resulting benefits, estimated at a 300% rate of return to the nation from the government investment.</w:t>
      </w:r>
      <w:r w:rsidR="00C3343C" w:rsidRPr="00490956">
        <w:rPr>
          <w:rFonts w:ascii="Arial" w:eastAsia="Times New Roman" w:hAnsi="Arial" w:cs="Arial"/>
          <w:sz w:val="18"/>
          <w:szCs w:val="18"/>
          <w:lang w:eastAsia="en-AU"/>
        </w:rPr>
        <w:t xml:space="preserve"> </w:t>
      </w:r>
      <w:r>
        <w:rPr>
          <w:rFonts w:ascii="Arial" w:eastAsia="Times New Roman" w:hAnsi="Arial" w:cs="Arial"/>
          <w:sz w:val="18"/>
          <w:szCs w:val="18"/>
          <w:lang w:eastAsia="en-AU"/>
        </w:rPr>
        <w:t xml:space="preserve"> B</w:t>
      </w:r>
      <w:r w:rsidR="00C3343C" w:rsidRPr="00490956">
        <w:rPr>
          <w:rFonts w:ascii="Arial" w:eastAsia="Times New Roman" w:hAnsi="Arial" w:cs="Arial"/>
          <w:sz w:val="18"/>
          <w:szCs w:val="18"/>
          <w:lang w:eastAsia="en-AU"/>
        </w:rPr>
        <w:t xml:space="preserve">ut funding </w:t>
      </w:r>
      <w:r>
        <w:rPr>
          <w:rFonts w:ascii="Arial" w:eastAsia="Times New Roman" w:hAnsi="Arial" w:cs="Arial"/>
          <w:sz w:val="18"/>
          <w:szCs w:val="18"/>
          <w:lang w:eastAsia="en-AU"/>
        </w:rPr>
        <w:t xml:space="preserve">to the program has been repeatedly cut to a level </w:t>
      </w:r>
      <w:r w:rsidR="00C3343C" w:rsidRPr="00490956">
        <w:rPr>
          <w:rFonts w:ascii="Arial" w:eastAsia="Times New Roman" w:hAnsi="Arial" w:cs="Arial"/>
          <w:sz w:val="18"/>
          <w:szCs w:val="18"/>
          <w:lang w:eastAsia="en-AU"/>
        </w:rPr>
        <w:t>of just $146.7 M for 2015-16</w:t>
      </w:r>
      <w:r>
        <w:rPr>
          <w:rFonts w:ascii="Arial" w:eastAsia="Times New Roman" w:hAnsi="Arial" w:cs="Arial"/>
          <w:sz w:val="18"/>
          <w:szCs w:val="18"/>
          <w:lang w:eastAsia="en-AU"/>
        </w:rPr>
        <w:t>. To have the required impact in enhancing research-industry engagement, the investment needs to be increased by a factor of three.</w:t>
      </w:r>
    </w:p>
    <w:p w:rsidR="00490956" w:rsidRDefault="00490956" w:rsidP="00490956">
      <w:pPr>
        <w:numPr>
          <w:ilvl w:val="0"/>
          <w:numId w:val="7"/>
        </w:numPr>
        <w:spacing w:before="120" w:after="120" w:line="360" w:lineRule="atLeast"/>
        <w:rPr>
          <w:rFonts w:ascii="Arial" w:eastAsia="Times New Roman" w:hAnsi="Arial" w:cs="Arial"/>
          <w:sz w:val="18"/>
          <w:szCs w:val="18"/>
          <w:lang w:eastAsia="en-AU"/>
        </w:rPr>
      </w:pPr>
      <w:r>
        <w:rPr>
          <w:rFonts w:ascii="Arial" w:eastAsia="Times New Roman" w:hAnsi="Arial" w:cs="Arial"/>
          <w:sz w:val="18"/>
          <w:szCs w:val="18"/>
          <w:lang w:eastAsia="en-AU"/>
        </w:rPr>
        <w:t>The National Innovation and Science Agenda includes, among its many components, includes an initiative to establish a</w:t>
      </w:r>
      <w:r w:rsidR="007B551D">
        <w:rPr>
          <w:rFonts w:ascii="Arial" w:eastAsia="Times New Roman" w:hAnsi="Arial" w:cs="Arial"/>
          <w:sz w:val="18"/>
          <w:szCs w:val="18"/>
          <w:lang w:eastAsia="en-AU"/>
        </w:rPr>
        <w:t xml:space="preserve">  Business Research and Innovation Initiative. This follows a decade-long series of reports that the US Small Business Innovation Research Program provided an excellent model for ensuring that government programs provided a catalyst for broad-ranging innovation. But the tentative Australian scheme is funded only to the tune of $19m – an extremely tentative toe in the water almost certainly designed to fail.</w:t>
      </w:r>
    </w:p>
    <w:p w:rsidR="002E65B9" w:rsidRDefault="002E65B9" w:rsidP="00490956">
      <w:pPr>
        <w:numPr>
          <w:ilvl w:val="0"/>
          <w:numId w:val="7"/>
        </w:numPr>
        <w:spacing w:before="120" w:after="120" w:line="360" w:lineRule="atLeast"/>
        <w:rPr>
          <w:rFonts w:ascii="Arial" w:eastAsia="Times New Roman" w:hAnsi="Arial" w:cs="Arial"/>
          <w:sz w:val="18"/>
          <w:szCs w:val="18"/>
          <w:lang w:eastAsia="en-AU"/>
        </w:rPr>
      </w:pPr>
      <w:r>
        <w:rPr>
          <w:rFonts w:ascii="Arial" w:eastAsia="Times New Roman" w:hAnsi="Arial" w:cs="Arial"/>
          <w:sz w:val="18"/>
          <w:szCs w:val="18"/>
          <w:lang w:eastAsia="en-AU"/>
        </w:rPr>
        <w:t xml:space="preserve">The University system continues to operate largely in 38 distinct silos, each university pursuing its objectives in competition with al others. In contrast, the European innovation infrastructure has been developed on a strongly cross-institutional and –national basis. Could we see initiatives whereby the metropolitan universities united to provide a common </w:t>
      </w:r>
      <w:r w:rsidR="003F1477">
        <w:rPr>
          <w:rFonts w:ascii="Arial" w:eastAsia="Times New Roman" w:hAnsi="Arial" w:cs="Arial"/>
          <w:sz w:val="18"/>
          <w:szCs w:val="18"/>
          <w:lang w:eastAsia="en-AU"/>
        </w:rPr>
        <w:t>interface to industry? Or could the existing coalitions of universities, such as Go8 or ATN, provide a standard engagement process?</w:t>
      </w:r>
    </w:p>
    <w:p w:rsidR="00FF655F" w:rsidRDefault="00FF655F" w:rsidP="00FF655F">
      <w:pPr>
        <w:spacing w:before="120" w:after="120" w:line="360" w:lineRule="atLeast"/>
        <w:rPr>
          <w:rFonts w:ascii="Arial" w:eastAsia="Times New Roman" w:hAnsi="Arial" w:cs="Arial"/>
          <w:sz w:val="18"/>
          <w:szCs w:val="18"/>
          <w:lang w:eastAsia="en-AU"/>
        </w:rPr>
      </w:pPr>
    </w:p>
    <w:p w:rsidR="00FF655F" w:rsidRPr="00490956" w:rsidRDefault="00FF655F" w:rsidP="00FF655F">
      <w:pPr>
        <w:spacing w:before="120" w:after="120" w:line="360" w:lineRule="atLeast"/>
        <w:rPr>
          <w:rFonts w:ascii="Arial" w:eastAsia="Times New Roman" w:hAnsi="Arial" w:cs="Arial"/>
          <w:sz w:val="18"/>
          <w:szCs w:val="18"/>
          <w:lang w:eastAsia="en-AU"/>
        </w:rPr>
      </w:pPr>
    </w:p>
    <w:p w:rsidR="00490956" w:rsidRPr="00FF655F" w:rsidRDefault="00FF655F" w:rsidP="00A74B4D">
      <w:pPr>
        <w:spacing w:before="120" w:after="120" w:line="360" w:lineRule="atLeast"/>
        <w:rPr>
          <w:rFonts w:ascii="Arial" w:hAnsi="Arial" w:cs="Arial"/>
          <w:b/>
          <w:i/>
          <w:color w:val="000000"/>
          <w:sz w:val="18"/>
          <w:szCs w:val="18"/>
          <w:shd w:val="clear" w:color="auto" w:fill="F9F9F9"/>
        </w:rPr>
      </w:pPr>
      <w:r>
        <w:rPr>
          <w:rFonts w:ascii="Arial" w:hAnsi="Arial" w:cs="Arial"/>
          <w:b/>
          <w:i/>
          <w:color w:val="000000"/>
          <w:sz w:val="18"/>
          <w:szCs w:val="18"/>
          <w:shd w:val="clear" w:color="auto" w:fill="F9F9F9"/>
        </w:rPr>
        <w:lastRenderedPageBreak/>
        <w:t>Invest in Collaboration and Engagement</w:t>
      </w:r>
    </w:p>
    <w:p w:rsidR="002E0613" w:rsidRDefault="002E0613">
      <w:r>
        <w:t>In the context of the deliberations of the Academy of Technology and Engineering’s Industry and Innovation Forum, I have noted:</w:t>
      </w:r>
    </w:p>
    <w:p w:rsidR="002E0613" w:rsidRDefault="002E0613" w:rsidP="002E0613">
      <w:pPr>
        <w:spacing w:after="0"/>
      </w:pPr>
      <w:r>
        <w:t>“</w:t>
      </w:r>
      <w:r>
        <w:t>Australia has evolved entrenched structures, systems and practices </w:t>
      </w:r>
      <w:r>
        <w:t xml:space="preserve">that confine businesses and research organisations to largely separate camps with limited interaction. This separation is sustained by largely negative reinforcements: </w:t>
      </w:r>
    </w:p>
    <w:p w:rsidR="002E0613" w:rsidRDefault="002E0613" w:rsidP="002E0613">
      <w:pPr>
        <w:spacing w:after="0"/>
      </w:pPr>
    </w:p>
    <w:p w:rsidR="002E0613" w:rsidRDefault="002E0613" w:rsidP="002E0613">
      <w:r>
        <w:t>Firms  perceive  universities  and  research  organisations  as  unworldly,  preoccupied  with  publications,  out  of  touch  with  business  reality,  unwilling  to  understand</w:t>
      </w:r>
      <w:r>
        <w:t>  commercial  pressures, too slow and bureaucratic in executing commercial contracts, and expecting too great a return from their  specialist knowledge;  r</w:t>
      </w:r>
      <w:r>
        <w:t>esearchers perceive firms as excessively focussed on the short‐term, unwilling to shift their  focus  from  current  problems  to  future  opportunities,  limited  in</w:t>
      </w:r>
      <w:r>
        <w:t xml:space="preserve"> their </w:t>
      </w:r>
      <w:r>
        <w:t>understanding  of  technical language and difficult to negotiate with for a fair price. </w:t>
      </w:r>
    </w:p>
    <w:p w:rsidR="000911FF" w:rsidRDefault="002E0613" w:rsidP="002E0613">
      <w:r>
        <w:t xml:space="preserve">However, there are exceptions  - major companies that invest seriously in innovation and research, </w:t>
      </w:r>
      <w:r>
        <w:t>SMEs that are driven by exploiting technology‐</w:t>
      </w:r>
      <w:r w:rsidR="000911FF">
        <w:t xml:space="preserve">based opportunities, newer  industry sectors that </w:t>
      </w:r>
      <w:r>
        <w:t>rely  on close interaction with research (e.g. medical devices), and researchers who are closely</w:t>
      </w:r>
      <w:r w:rsidR="000911FF">
        <w:t xml:space="preserve"> connected with companies.</w:t>
      </w:r>
      <w:r>
        <w:t> What is missing is not good practice, but scale.</w:t>
      </w:r>
      <w:r w:rsidR="000911FF">
        <w:t>”</w:t>
      </w:r>
    </w:p>
    <w:p w:rsidR="00FF655F" w:rsidRDefault="002E0613" w:rsidP="002E0613">
      <w:bookmarkStart w:id="0" w:name="_GoBack"/>
      <w:bookmarkEnd w:id="0"/>
      <w:r>
        <w:t> </w:t>
      </w:r>
      <w:r w:rsidR="00FF655F">
        <w:t xml:space="preserve">As a contributor to the ACOLA SAF09 project on ‘Translating Research for Economic and Social Benefit’, I identified, on the basis of a detailed survey of European </w:t>
      </w:r>
      <w:r>
        <w:t xml:space="preserve">policies, </w:t>
      </w:r>
      <w:r w:rsidR="00FF655F">
        <w:t>the key features of best practice for promoting collaborative innovation:</w:t>
      </w:r>
    </w:p>
    <w:p w:rsidR="00FF655F" w:rsidRDefault="00FF655F" w:rsidP="00FF655F">
      <w:r>
        <w:rPr>
          <w:b/>
        </w:rPr>
        <w:t>“</w:t>
      </w:r>
      <w:r w:rsidRPr="0008205A">
        <w:t>The European Innovation Leaders</w:t>
      </w:r>
      <w:r>
        <w:t xml:space="preserve"> (Sweden, Denmark, Germany, Finland), through substantially comparable approaches, but each with a reflection of the particular socio-economic and political structure, and history of their nation, provide a clear and powerful exemplar of STI ecosystems that effectively support the translation of research into economic and social benefits.</w:t>
      </w:r>
    </w:p>
    <w:p w:rsidR="00FF655F" w:rsidRDefault="00FF655F" w:rsidP="00FF655F">
      <w:r>
        <w:t>The common features would appear to be:</w:t>
      </w:r>
    </w:p>
    <w:p w:rsidR="00FF655F" w:rsidRDefault="00FF655F" w:rsidP="00FF655F">
      <w:pPr>
        <w:pStyle w:val="ListParagraph"/>
        <w:numPr>
          <w:ilvl w:val="0"/>
          <w:numId w:val="9"/>
        </w:numPr>
      </w:pPr>
      <w:r>
        <w:t>A widespread understanding of and commitment to, throughout all layers of the society and the economy, the knowledge economy as the central framework in which competitiveness, future wealth and employment will be generated; material and energy resources are important, but they do not provide a sustainable basis for a competitive national economy in this global era;</w:t>
      </w:r>
    </w:p>
    <w:p w:rsidR="00FF655F" w:rsidRDefault="00FF655F" w:rsidP="00FF655F">
      <w:pPr>
        <w:pStyle w:val="ListParagraph"/>
        <w:numPr>
          <w:ilvl w:val="0"/>
          <w:numId w:val="9"/>
        </w:numPr>
      </w:pPr>
      <w:r>
        <w:t>A recognition that building competitive strengths in the global knowledge economy requires a sustained, long term commitment, with space and appetite for substantial evolution as new lessons are learned and new conditions encountered;</w:t>
      </w:r>
    </w:p>
    <w:p w:rsidR="00FF655F" w:rsidRDefault="00FF655F" w:rsidP="00FF655F">
      <w:pPr>
        <w:pStyle w:val="ListParagraph"/>
        <w:numPr>
          <w:ilvl w:val="0"/>
          <w:numId w:val="9"/>
        </w:numPr>
      </w:pPr>
      <w:r>
        <w:t>A consequent bi- or multi-partisan approach on the part of successive governments; these matters are far too important to be the subject of political conflict;</w:t>
      </w:r>
    </w:p>
    <w:p w:rsidR="00FF655F" w:rsidRDefault="00FF655F" w:rsidP="00FF655F">
      <w:pPr>
        <w:pStyle w:val="ListParagraph"/>
        <w:numPr>
          <w:ilvl w:val="0"/>
          <w:numId w:val="9"/>
        </w:numPr>
      </w:pPr>
      <w:r>
        <w:t>A commitment to high levels of investment in R&amp;D and innovation, with stretch targets being continuously applied;</w:t>
      </w:r>
    </w:p>
    <w:p w:rsidR="00FF655F" w:rsidRDefault="00FF655F" w:rsidP="00FF655F">
      <w:pPr>
        <w:pStyle w:val="ListParagraph"/>
        <w:numPr>
          <w:ilvl w:val="0"/>
          <w:numId w:val="9"/>
        </w:numPr>
      </w:pPr>
      <w:r>
        <w:t>A comprehension of the notion of innovation systems, where interactions between the elements are more important and produce far more value than do the individual components, as important as they are;</w:t>
      </w:r>
    </w:p>
    <w:p w:rsidR="00FF655F" w:rsidRDefault="00FF655F" w:rsidP="00FF655F">
      <w:pPr>
        <w:pStyle w:val="ListParagraph"/>
        <w:numPr>
          <w:ilvl w:val="0"/>
          <w:numId w:val="9"/>
        </w:numPr>
      </w:pPr>
      <w:r>
        <w:lastRenderedPageBreak/>
        <w:t xml:space="preserve">As a consequence, these European Innovation Leaders show a high performance across </w:t>
      </w:r>
      <w:r w:rsidRPr="002269B8">
        <w:rPr>
          <w:b/>
        </w:rPr>
        <w:t xml:space="preserve">all </w:t>
      </w:r>
      <w:r>
        <w:t>key dimensions of their innovation system - the enablers (or framework conditions), firm activities and innovation output;</w:t>
      </w:r>
    </w:p>
    <w:p w:rsidR="00FF655F" w:rsidRDefault="00FF655F" w:rsidP="00FF655F">
      <w:pPr>
        <w:pStyle w:val="ListParagraph"/>
        <w:numPr>
          <w:ilvl w:val="0"/>
          <w:numId w:val="9"/>
        </w:numPr>
      </w:pPr>
      <w:r>
        <w:t>Explicit</w:t>
      </w:r>
      <w:r w:rsidRPr="00C50F64">
        <w:t xml:space="preserve"> target</w:t>
      </w:r>
      <w:r>
        <w:t>ing of</w:t>
      </w:r>
      <w:r w:rsidRPr="00C50F64">
        <w:t xml:space="preserve"> most of their research towards competitiveness and environmental and social challenges, while basic research is </w:t>
      </w:r>
      <w:r>
        <w:t xml:space="preserve">required to operate within a </w:t>
      </w:r>
      <w:r w:rsidRPr="00C50F64">
        <w:t xml:space="preserve">highly selective </w:t>
      </w:r>
      <w:r>
        <w:t>excellence framework;</w:t>
      </w:r>
      <w:r w:rsidRPr="00C50F64">
        <w:t xml:space="preserve"> </w:t>
      </w:r>
    </w:p>
    <w:p w:rsidR="00FF655F" w:rsidRPr="002026D0" w:rsidRDefault="00FF655F" w:rsidP="00FF655F">
      <w:pPr>
        <w:pStyle w:val="ListParagraph"/>
        <w:numPr>
          <w:ilvl w:val="0"/>
          <w:numId w:val="8"/>
        </w:numPr>
      </w:pPr>
      <w:r>
        <w:t xml:space="preserve">A substantial, at times equivalent, commitment to </w:t>
      </w:r>
      <w:r w:rsidRPr="00460C96">
        <w:rPr>
          <w:lang w:val="en-US"/>
        </w:rPr>
        <w:t>the long-term facilitation, through multiple mechanisms, of deep  linkages between knowledge generation and knowledge a</w:t>
      </w:r>
      <w:r>
        <w:rPr>
          <w:lang w:val="en-US"/>
        </w:rPr>
        <w:t>p</w:t>
      </w:r>
      <w:r w:rsidRPr="00460C96">
        <w:rPr>
          <w:lang w:val="en-US"/>
        </w:rPr>
        <w:t>plication</w:t>
      </w:r>
      <w:r>
        <w:rPr>
          <w:lang w:val="en-US"/>
        </w:rPr>
        <w:t>; this includes mechanisms to influence the attitudes, practices and competences of research institutions and industry, and the development of powerful and effective intermediary organisations;</w:t>
      </w:r>
    </w:p>
    <w:p w:rsidR="00FF655F" w:rsidRPr="00460C96" w:rsidRDefault="00FF655F" w:rsidP="00FF655F">
      <w:pPr>
        <w:pStyle w:val="ListParagraph"/>
        <w:numPr>
          <w:ilvl w:val="0"/>
          <w:numId w:val="8"/>
        </w:numPr>
      </w:pPr>
      <w:r>
        <w:t>Investment in</w:t>
      </w:r>
      <w:r w:rsidRPr="00C50F64">
        <w:t xml:space="preserve"> strategic public-private partnerships for innovation</w:t>
      </w:r>
      <w:r>
        <w:t xml:space="preserve"> designed to </w:t>
      </w:r>
      <w:r w:rsidRPr="00C50F64">
        <w:t>harvest broader economic and social benefits from investments in public research</w:t>
      </w:r>
      <w:r>
        <w:t xml:space="preserve">, and to </w:t>
      </w:r>
      <w:r w:rsidRPr="00C50F64">
        <w:t xml:space="preserve">connect science to innovation </w:t>
      </w:r>
      <w:r>
        <w:t xml:space="preserve">in order </w:t>
      </w:r>
      <w:r w:rsidRPr="00C50F64">
        <w:t xml:space="preserve">to </w:t>
      </w:r>
      <w:r>
        <w:t>address Grand Global C</w:t>
      </w:r>
      <w:r w:rsidRPr="00C50F64">
        <w:t>hallenges</w:t>
      </w:r>
      <w:r>
        <w:t>;</w:t>
      </w:r>
    </w:p>
    <w:p w:rsidR="00FF655F" w:rsidRPr="00820E8E" w:rsidRDefault="00FF655F" w:rsidP="00FF655F">
      <w:pPr>
        <w:pStyle w:val="ListParagraph"/>
        <w:numPr>
          <w:ilvl w:val="0"/>
          <w:numId w:val="9"/>
        </w:numPr>
      </w:pPr>
      <w:r>
        <w:t xml:space="preserve">A perspective that positioning to address </w:t>
      </w:r>
      <w:r w:rsidRPr="00E4726F">
        <w:rPr>
          <w:lang w:val="en-US"/>
        </w:rPr>
        <w:t>major social challenges,</w:t>
      </w:r>
      <w:r>
        <w:rPr>
          <w:lang w:val="en-US"/>
        </w:rPr>
        <w:t xml:space="preserve"> will not only be a means of </w:t>
      </w:r>
      <w:r w:rsidRPr="00E4726F">
        <w:rPr>
          <w:lang w:val="en-US"/>
        </w:rPr>
        <w:t xml:space="preserve"> </w:t>
      </w:r>
      <w:r>
        <w:rPr>
          <w:lang w:val="en-US"/>
        </w:rPr>
        <w:t xml:space="preserve">safeguarding their society but also will generate a capacity </w:t>
      </w:r>
      <w:r w:rsidRPr="00E4726F">
        <w:rPr>
          <w:lang w:val="en-US"/>
        </w:rPr>
        <w:t>upon which future economic advantage can be constructed.</w:t>
      </w:r>
    </w:p>
    <w:p w:rsidR="00FF655F" w:rsidRDefault="00FF655F" w:rsidP="00FF655F">
      <w:pPr>
        <w:pStyle w:val="ListParagraph"/>
        <w:numPr>
          <w:ilvl w:val="0"/>
          <w:numId w:val="9"/>
        </w:numPr>
      </w:pPr>
      <w:r>
        <w:rPr>
          <w:lang w:val="en-US"/>
        </w:rPr>
        <w:t>A significant investment in the development of appropriate metrics and evaluation processes, so that performance can be assessed, and to provide an appropriate basis for the application of continuous learning and improvement to the innovation system architecture and instruments.</w:t>
      </w:r>
      <w:r w:rsidR="0077284E">
        <w:rPr>
          <w:lang w:val="en-US"/>
        </w:rPr>
        <w:t>”</w:t>
      </w:r>
    </w:p>
    <w:p w:rsidR="0086791B" w:rsidRDefault="00D52627" w:rsidP="00D52627">
      <w:pPr>
        <w:rPr>
          <w:b/>
        </w:rPr>
      </w:pPr>
      <w:r w:rsidRPr="00D52627">
        <w:rPr>
          <w:b/>
        </w:rPr>
        <w:t>Conclusion</w:t>
      </w:r>
    </w:p>
    <w:p w:rsidR="00D52627" w:rsidRPr="00D52627" w:rsidRDefault="00D52627" w:rsidP="00D52627">
      <w:r>
        <w:t>The focus and objectives of the National Innovation and Science Agenda are to be commended. Moreover there appears to be a steady but progressive roll-out of many of the sub-programs. But, at a time when billions of dollars are being invested in new physical infrastructure</w:t>
      </w:r>
      <w:r w:rsidR="003A7132">
        <w:t xml:space="preserve"> in the traditional categories of roads, railways and ports, and also in the National Broadband Network, the commitment to our innovation infrastructure is modest at best.  The vision of an innovative nation cannot be pursued at the margins – it needs to become the centrepiece of economic policy.</w:t>
      </w:r>
    </w:p>
    <w:sectPr w:rsidR="00D52627" w:rsidRPr="00D52627" w:rsidSect="00F675C5">
      <w:footerReference w:type="default" r:id="rId15"/>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521" w:rsidRDefault="007F6521" w:rsidP="001F5D00">
      <w:pPr>
        <w:spacing w:after="0" w:line="240" w:lineRule="auto"/>
      </w:pPr>
      <w:r>
        <w:separator/>
      </w:r>
    </w:p>
  </w:endnote>
  <w:endnote w:type="continuationSeparator" w:id="0">
    <w:p w:rsidR="007F6521" w:rsidRDefault="007F6521" w:rsidP="001F5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6121711"/>
      <w:docPartObj>
        <w:docPartGallery w:val="Page Numbers (Bottom of Page)"/>
        <w:docPartUnique/>
      </w:docPartObj>
    </w:sdtPr>
    <w:sdtEndPr>
      <w:rPr>
        <w:noProof/>
      </w:rPr>
    </w:sdtEndPr>
    <w:sdtContent>
      <w:p w:rsidR="001F5D00" w:rsidRDefault="001F5D00">
        <w:pPr>
          <w:pStyle w:val="Footer"/>
          <w:jc w:val="center"/>
        </w:pPr>
        <w:r>
          <w:fldChar w:fldCharType="begin"/>
        </w:r>
        <w:r>
          <w:instrText xml:space="preserve"> PAGE   \* MERGEFORMAT </w:instrText>
        </w:r>
        <w:r>
          <w:fldChar w:fldCharType="separate"/>
        </w:r>
        <w:r w:rsidR="000911FF">
          <w:rPr>
            <w:noProof/>
          </w:rPr>
          <w:t>6</w:t>
        </w:r>
        <w:r>
          <w:rPr>
            <w:noProof/>
          </w:rPr>
          <w:fldChar w:fldCharType="end"/>
        </w:r>
      </w:p>
    </w:sdtContent>
  </w:sdt>
  <w:p w:rsidR="001F5D00" w:rsidRDefault="001F5D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521" w:rsidRDefault="007F6521" w:rsidP="001F5D00">
      <w:pPr>
        <w:spacing w:after="0" w:line="240" w:lineRule="auto"/>
      </w:pPr>
      <w:r>
        <w:separator/>
      </w:r>
    </w:p>
  </w:footnote>
  <w:footnote w:type="continuationSeparator" w:id="0">
    <w:p w:rsidR="007F6521" w:rsidRDefault="007F6521" w:rsidP="001F5D00">
      <w:pPr>
        <w:spacing w:after="0" w:line="240" w:lineRule="auto"/>
      </w:pPr>
      <w:r>
        <w:continuationSeparator/>
      </w:r>
    </w:p>
  </w:footnote>
  <w:footnote w:id="1">
    <w:p w:rsidR="007955A9" w:rsidRDefault="007955A9">
      <w:pPr>
        <w:pStyle w:val="FootnoteText"/>
      </w:pPr>
      <w:r>
        <w:rPr>
          <w:rStyle w:val="FootnoteReference"/>
        </w:rPr>
        <w:footnoteRef/>
      </w:r>
      <w:r>
        <w:t xml:space="preserve"> This is the subject of another forthcoming paper.</w:t>
      </w:r>
    </w:p>
  </w:footnote>
  <w:footnote w:id="2">
    <w:p w:rsidR="009D3E3F" w:rsidRPr="009D3E3F" w:rsidRDefault="009D3E3F">
      <w:pPr>
        <w:pStyle w:val="FootnoteText"/>
      </w:pPr>
      <w:r>
        <w:rPr>
          <w:rStyle w:val="FootnoteReference"/>
        </w:rPr>
        <w:footnoteRef/>
      </w:r>
      <w:r>
        <w:t xml:space="preserve"> It is more than 30 years since I demonstrated the limitations of this concept (R.A. Joseph and R. Johnston, ‘Market Failure and Government Finding of Science and Technology: Economic Theory versus Political Practice’, </w:t>
      </w:r>
      <w:r w:rsidRPr="009D3E3F">
        <w:rPr>
          <w:i/>
        </w:rPr>
        <w:t>Prometheus</w:t>
      </w:r>
      <w:r>
        <w:rPr>
          <w:i/>
        </w:rPr>
        <w:t xml:space="preserve">, </w:t>
      </w:r>
      <w:r>
        <w:t>Vol 3, 1985, pp. 138-155.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B04CD"/>
    <w:multiLevelType w:val="hybridMultilevel"/>
    <w:tmpl w:val="BED20F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59670E1"/>
    <w:multiLevelType w:val="hybridMultilevel"/>
    <w:tmpl w:val="94EA6D4A"/>
    <w:lvl w:ilvl="0" w:tplc="11985468">
      <w:start w:val="1"/>
      <w:numFmt w:val="decimal"/>
      <w:lvlText w:val="%1."/>
      <w:lvlJc w:val="left"/>
      <w:pPr>
        <w:tabs>
          <w:tab w:val="num" w:pos="720"/>
        </w:tabs>
        <w:ind w:left="720" w:hanging="360"/>
      </w:pPr>
    </w:lvl>
    <w:lvl w:ilvl="1" w:tplc="B27A5EBE" w:tentative="1">
      <w:start w:val="1"/>
      <w:numFmt w:val="decimal"/>
      <w:lvlText w:val="%2."/>
      <w:lvlJc w:val="left"/>
      <w:pPr>
        <w:tabs>
          <w:tab w:val="num" w:pos="1440"/>
        </w:tabs>
        <w:ind w:left="1440" w:hanging="360"/>
      </w:pPr>
    </w:lvl>
    <w:lvl w:ilvl="2" w:tplc="3190CC30" w:tentative="1">
      <w:start w:val="1"/>
      <w:numFmt w:val="decimal"/>
      <w:lvlText w:val="%3."/>
      <w:lvlJc w:val="left"/>
      <w:pPr>
        <w:tabs>
          <w:tab w:val="num" w:pos="2160"/>
        </w:tabs>
        <w:ind w:left="2160" w:hanging="360"/>
      </w:pPr>
    </w:lvl>
    <w:lvl w:ilvl="3" w:tplc="D5EEADCE" w:tentative="1">
      <w:start w:val="1"/>
      <w:numFmt w:val="decimal"/>
      <w:lvlText w:val="%4."/>
      <w:lvlJc w:val="left"/>
      <w:pPr>
        <w:tabs>
          <w:tab w:val="num" w:pos="2880"/>
        </w:tabs>
        <w:ind w:left="2880" w:hanging="360"/>
      </w:pPr>
    </w:lvl>
    <w:lvl w:ilvl="4" w:tplc="4A7A7C86" w:tentative="1">
      <w:start w:val="1"/>
      <w:numFmt w:val="decimal"/>
      <w:lvlText w:val="%5."/>
      <w:lvlJc w:val="left"/>
      <w:pPr>
        <w:tabs>
          <w:tab w:val="num" w:pos="3600"/>
        </w:tabs>
        <w:ind w:left="3600" w:hanging="360"/>
      </w:pPr>
    </w:lvl>
    <w:lvl w:ilvl="5" w:tplc="8236C95C" w:tentative="1">
      <w:start w:val="1"/>
      <w:numFmt w:val="decimal"/>
      <w:lvlText w:val="%6."/>
      <w:lvlJc w:val="left"/>
      <w:pPr>
        <w:tabs>
          <w:tab w:val="num" w:pos="4320"/>
        </w:tabs>
        <w:ind w:left="4320" w:hanging="360"/>
      </w:pPr>
    </w:lvl>
    <w:lvl w:ilvl="6" w:tplc="573C33BE" w:tentative="1">
      <w:start w:val="1"/>
      <w:numFmt w:val="decimal"/>
      <w:lvlText w:val="%7."/>
      <w:lvlJc w:val="left"/>
      <w:pPr>
        <w:tabs>
          <w:tab w:val="num" w:pos="5040"/>
        </w:tabs>
        <w:ind w:left="5040" w:hanging="360"/>
      </w:pPr>
    </w:lvl>
    <w:lvl w:ilvl="7" w:tplc="6E44C2A0" w:tentative="1">
      <w:start w:val="1"/>
      <w:numFmt w:val="decimal"/>
      <w:lvlText w:val="%8."/>
      <w:lvlJc w:val="left"/>
      <w:pPr>
        <w:tabs>
          <w:tab w:val="num" w:pos="5760"/>
        </w:tabs>
        <w:ind w:left="5760" w:hanging="360"/>
      </w:pPr>
    </w:lvl>
    <w:lvl w:ilvl="8" w:tplc="22AA4D7C" w:tentative="1">
      <w:start w:val="1"/>
      <w:numFmt w:val="decimal"/>
      <w:lvlText w:val="%9."/>
      <w:lvlJc w:val="left"/>
      <w:pPr>
        <w:tabs>
          <w:tab w:val="num" w:pos="6480"/>
        </w:tabs>
        <w:ind w:left="6480" w:hanging="360"/>
      </w:pPr>
    </w:lvl>
  </w:abstractNum>
  <w:abstractNum w:abstractNumId="2">
    <w:nsid w:val="10F54850"/>
    <w:multiLevelType w:val="hybridMultilevel"/>
    <w:tmpl w:val="CDC21F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F5A32D0"/>
    <w:multiLevelType w:val="hybridMultilevel"/>
    <w:tmpl w:val="061E05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66E2B05"/>
    <w:multiLevelType w:val="hybridMultilevel"/>
    <w:tmpl w:val="15D4B216"/>
    <w:lvl w:ilvl="0" w:tplc="9594C74E">
      <w:start w:val="1"/>
      <w:numFmt w:val="decimal"/>
      <w:lvlText w:val="%1."/>
      <w:lvlJc w:val="left"/>
      <w:pPr>
        <w:tabs>
          <w:tab w:val="num" w:pos="720"/>
        </w:tabs>
        <w:ind w:left="720" w:hanging="360"/>
      </w:pPr>
    </w:lvl>
    <w:lvl w:ilvl="1" w:tplc="7C94B776" w:tentative="1">
      <w:start w:val="1"/>
      <w:numFmt w:val="decimal"/>
      <w:lvlText w:val="%2."/>
      <w:lvlJc w:val="left"/>
      <w:pPr>
        <w:tabs>
          <w:tab w:val="num" w:pos="1440"/>
        </w:tabs>
        <w:ind w:left="1440" w:hanging="360"/>
      </w:pPr>
    </w:lvl>
    <w:lvl w:ilvl="2" w:tplc="C9C873EC" w:tentative="1">
      <w:start w:val="1"/>
      <w:numFmt w:val="decimal"/>
      <w:lvlText w:val="%3."/>
      <w:lvlJc w:val="left"/>
      <w:pPr>
        <w:tabs>
          <w:tab w:val="num" w:pos="2160"/>
        </w:tabs>
        <w:ind w:left="2160" w:hanging="360"/>
      </w:pPr>
    </w:lvl>
    <w:lvl w:ilvl="3" w:tplc="AA868730" w:tentative="1">
      <w:start w:val="1"/>
      <w:numFmt w:val="decimal"/>
      <w:lvlText w:val="%4."/>
      <w:lvlJc w:val="left"/>
      <w:pPr>
        <w:tabs>
          <w:tab w:val="num" w:pos="2880"/>
        </w:tabs>
        <w:ind w:left="2880" w:hanging="360"/>
      </w:pPr>
    </w:lvl>
    <w:lvl w:ilvl="4" w:tplc="CF20BBC6" w:tentative="1">
      <w:start w:val="1"/>
      <w:numFmt w:val="decimal"/>
      <w:lvlText w:val="%5."/>
      <w:lvlJc w:val="left"/>
      <w:pPr>
        <w:tabs>
          <w:tab w:val="num" w:pos="3600"/>
        </w:tabs>
        <w:ind w:left="3600" w:hanging="360"/>
      </w:pPr>
    </w:lvl>
    <w:lvl w:ilvl="5" w:tplc="21EA9982" w:tentative="1">
      <w:start w:val="1"/>
      <w:numFmt w:val="decimal"/>
      <w:lvlText w:val="%6."/>
      <w:lvlJc w:val="left"/>
      <w:pPr>
        <w:tabs>
          <w:tab w:val="num" w:pos="4320"/>
        </w:tabs>
        <w:ind w:left="4320" w:hanging="360"/>
      </w:pPr>
    </w:lvl>
    <w:lvl w:ilvl="6" w:tplc="B680C48C" w:tentative="1">
      <w:start w:val="1"/>
      <w:numFmt w:val="decimal"/>
      <w:lvlText w:val="%7."/>
      <w:lvlJc w:val="left"/>
      <w:pPr>
        <w:tabs>
          <w:tab w:val="num" w:pos="5040"/>
        </w:tabs>
        <w:ind w:left="5040" w:hanging="360"/>
      </w:pPr>
    </w:lvl>
    <w:lvl w:ilvl="7" w:tplc="B4A232F8" w:tentative="1">
      <w:start w:val="1"/>
      <w:numFmt w:val="decimal"/>
      <w:lvlText w:val="%8."/>
      <w:lvlJc w:val="left"/>
      <w:pPr>
        <w:tabs>
          <w:tab w:val="num" w:pos="5760"/>
        </w:tabs>
        <w:ind w:left="5760" w:hanging="360"/>
      </w:pPr>
    </w:lvl>
    <w:lvl w:ilvl="8" w:tplc="B5BC8406" w:tentative="1">
      <w:start w:val="1"/>
      <w:numFmt w:val="decimal"/>
      <w:lvlText w:val="%9."/>
      <w:lvlJc w:val="left"/>
      <w:pPr>
        <w:tabs>
          <w:tab w:val="num" w:pos="6480"/>
        </w:tabs>
        <w:ind w:left="6480" w:hanging="360"/>
      </w:pPr>
    </w:lvl>
  </w:abstractNum>
  <w:abstractNum w:abstractNumId="5">
    <w:nsid w:val="4E606EDA"/>
    <w:multiLevelType w:val="hybridMultilevel"/>
    <w:tmpl w:val="FCE0C48E"/>
    <w:lvl w:ilvl="0" w:tplc="179E8C48">
      <w:start w:val="1"/>
      <w:numFmt w:val="decimal"/>
      <w:lvlText w:val="%1."/>
      <w:lvlJc w:val="left"/>
      <w:pPr>
        <w:tabs>
          <w:tab w:val="num" w:pos="720"/>
        </w:tabs>
        <w:ind w:left="720" w:hanging="360"/>
      </w:pPr>
    </w:lvl>
    <w:lvl w:ilvl="1" w:tplc="2CFADBC0" w:tentative="1">
      <w:start w:val="1"/>
      <w:numFmt w:val="decimal"/>
      <w:lvlText w:val="%2."/>
      <w:lvlJc w:val="left"/>
      <w:pPr>
        <w:tabs>
          <w:tab w:val="num" w:pos="1440"/>
        </w:tabs>
        <w:ind w:left="1440" w:hanging="360"/>
      </w:pPr>
    </w:lvl>
    <w:lvl w:ilvl="2" w:tplc="FCD4EE8C" w:tentative="1">
      <w:start w:val="1"/>
      <w:numFmt w:val="decimal"/>
      <w:lvlText w:val="%3."/>
      <w:lvlJc w:val="left"/>
      <w:pPr>
        <w:tabs>
          <w:tab w:val="num" w:pos="2160"/>
        </w:tabs>
        <w:ind w:left="2160" w:hanging="360"/>
      </w:pPr>
    </w:lvl>
    <w:lvl w:ilvl="3" w:tplc="1952D536" w:tentative="1">
      <w:start w:val="1"/>
      <w:numFmt w:val="decimal"/>
      <w:lvlText w:val="%4."/>
      <w:lvlJc w:val="left"/>
      <w:pPr>
        <w:tabs>
          <w:tab w:val="num" w:pos="2880"/>
        </w:tabs>
        <w:ind w:left="2880" w:hanging="360"/>
      </w:pPr>
    </w:lvl>
    <w:lvl w:ilvl="4" w:tplc="388E06FE" w:tentative="1">
      <w:start w:val="1"/>
      <w:numFmt w:val="decimal"/>
      <w:lvlText w:val="%5."/>
      <w:lvlJc w:val="left"/>
      <w:pPr>
        <w:tabs>
          <w:tab w:val="num" w:pos="3600"/>
        </w:tabs>
        <w:ind w:left="3600" w:hanging="360"/>
      </w:pPr>
    </w:lvl>
    <w:lvl w:ilvl="5" w:tplc="A5BA3FEA" w:tentative="1">
      <w:start w:val="1"/>
      <w:numFmt w:val="decimal"/>
      <w:lvlText w:val="%6."/>
      <w:lvlJc w:val="left"/>
      <w:pPr>
        <w:tabs>
          <w:tab w:val="num" w:pos="4320"/>
        </w:tabs>
        <w:ind w:left="4320" w:hanging="360"/>
      </w:pPr>
    </w:lvl>
    <w:lvl w:ilvl="6" w:tplc="6A604520" w:tentative="1">
      <w:start w:val="1"/>
      <w:numFmt w:val="decimal"/>
      <w:lvlText w:val="%7."/>
      <w:lvlJc w:val="left"/>
      <w:pPr>
        <w:tabs>
          <w:tab w:val="num" w:pos="5040"/>
        </w:tabs>
        <w:ind w:left="5040" w:hanging="360"/>
      </w:pPr>
    </w:lvl>
    <w:lvl w:ilvl="7" w:tplc="5F9C4AC2" w:tentative="1">
      <w:start w:val="1"/>
      <w:numFmt w:val="decimal"/>
      <w:lvlText w:val="%8."/>
      <w:lvlJc w:val="left"/>
      <w:pPr>
        <w:tabs>
          <w:tab w:val="num" w:pos="5760"/>
        </w:tabs>
        <w:ind w:left="5760" w:hanging="360"/>
      </w:pPr>
    </w:lvl>
    <w:lvl w:ilvl="8" w:tplc="80303024" w:tentative="1">
      <w:start w:val="1"/>
      <w:numFmt w:val="decimal"/>
      <w:lvlText w:val="%9."/>
      <w:lvlJc w:val="left"/>
      <w:pPr>
        <w:tabs>
          <w:tab w:val="num" w:pos="6480"/>
        </w:tabs>
        <w:ind w:left="6480" w:hanging="360"/>
      </w:pPr>
    </w:lvl>
  </w:abstractNum>
  <w:abstractNum w:abstractNumId="6">
    <w:nsid w:val="54587313"/>
    <w:multiLevelType w:val="hybridMultilevel"/>
    <w:tmpl w:val="C540A2B6"/>
    <w:lvl w:ilvl="0" w:tplc="C8A4D7B0">
      <w:start w:val="1"/>
      <w:numFmt w:val="bullet"/>
      <w:lvlText w:val=""/>
      <w:lvlJc w:val="left"/>
      <w:pPr>
        <w:tabs>
          <w:tab w:val="num" w:pos="720"/>
        </w:tabs>
        <w:ind w:left="720" w:hanging="360"/>
      </w:pPr>
      <w:rPr>
        <w:rFonts w:ascii="Wingdings 3" w:hAnsi="Wingdings 3" w:hint="default"/>
      </w:rPr>
    </w:lvl>
    <w:lvl w:ilvl="1" w:tplc="387EA904" w:tentative="1">
      <w:start w:val="1"/>
      <w:numFmt w:val="bullet"/>
      <w:lvlText w:val=""/>
      <w:lvlJc w:val="left"/>
      <w:pPr>
        <w:tabs>
          <w:tab w:val="num" w:pos="1440"/>
        </w:tabs>
        <w:ind w:left="1440" w:hanging="360"/>
      </w:pPr>
      <w:rPr>
        <w:rFonts w:ascii="Wingdings 3" w:hAnsi="Wingdings 3" w:hint="default"/>
      </w:rPr>
    </w:lvl>
    <w:lvl w:ilvl="2" w:tplc="8C702422" w:tentative="1">
      <w:start w:val="1"/>
      <w:numFmt w:val="bullet"/>
      <w:lvlText w:val=""/>
      <w:lvlJc w:val="left"/>
      <w:pPr>
        <w:tabs>
          <w:tab w:val="num" w:pos="2160"/>
        </w:tabs>
        <w:ind w:left="2160" w:hanging="360"/>
      </w:pPr>
      <w:rPr>
        <w:rFonts w:ascii="Wingdings 3" w:hAnsi="Wingdings 3" w:hint="default"/>
      </w:rPr>
    </w:lvl>
    <w:lvl w:ilvl="3" w:tplc="B81C9034" w:tentative="1">
      <w:start w:val="1"/>
      <w:numFmt w:val="bullet"/>
      <w:lvlText w:val=""/>
      <w:lvlJc w:val="left"/>
      <w:pPr>
        <w:tabs>
          <w:tab w:val="num" w:pos="2880"/>
        </w:tabs>
        <w:ind w:left="2880" w:hanging="360"/>
      </w:pPr>
      <w:rPr>
        <w:rFonts w:ascii="Wingdings 3" w:hAnsi="Wingdings 3" w:hint="default"/>
      </w:rPr>
    </w:lvl>
    <w:lvl w:ilvl="4" w:tplc="811A284E" w:tentative="1">
      <w:start w:val="1"/>
      <w:numFmt w:val="bullet"/>
      <w:lvlText w:val=""/>
      <w:lvlJc w:val="left"/>
      <w:pPr>
        <w:tabs>
          <w:tab w:val="num" w:pos="3600"/>
        </w:tabs>
        <w:ind w:left="3600" w:hanging="360"/>
      </w:pPr>
      <w:rPr>
        <w:rFonts w:ascii="Wingdings 3" w:hAnsi="Wingdings 3" w:hint="default"/>
      </w:rPr>
    </w:lvl>
    <w:lvl w:ilvl="5" w:tplc="806ACE3C" w:tentative="1">
      <w:start w:val="1"/>
      <w:numFmt w:val="bullet"/>
      <w:lvlText w:val=""/>
      <w:lvlJc w:val="left"/>
      <w:pPr>
        <w:tabs>
          <w:tab w:val="num" w:pos="4320"/>
        </w:tabs>
        <w:ind w:left="4320" w:hanging="360"/>
      </w:pPr>
      <w:rPr>
        <w:rFonts w:ascii="Wingdings 3" w:hAnsi="Wingdings 3" w:hint="default"/>
      </w:rPr>
    </w:lvl>
    <w:lvl w:ilvl="6" w:tplc="57DC0C52" w:tentative="1">
      <w:start w:val="1"/>
      <w:numFmt w:val="bullet"/>
      <w:lvlText w:val=""/>
      <w:lvlJc w:val="left"/>
      <w:pPr>
        <w:tabs>
          <w:tab w:val="num" w:pos="5040"/>
        </w:tabs>
        <w:ind w:left="5040" w:hanging="360"/>
      </w:pPr>
      <w:rPr>
        <w:rFonts w:ascii="Wingdings 3" w:hAnsi="Wingdings 3" w:hint="default"/>
      </w:rPr>
    </w:lvl>
    <w:lvl w:ilvl="7" w:tplc="F05803B4" w:tentative="1">
      <w:start w:val="1"/>
      <w:numFmt w:val="bullet"/>
      <w:lvlText w:val=""/>
      <w:lvlJc w:val="left"/>
      <w:pPr>
        <w:tabs>
          <w:tab w:val="num" w:pos="5760"/>
        </w:tabs>
        <w:ind w:left="5760" w:hanging="360"/>
      </w:pPr>
      <w:rPr>
        <w:rFonts w:ascii="Wingdings 3" w:hAnsi="Wingdings 3" w:hint="default"/>
      </w:rPr>
    </w:lvl>
    <w:lvl w:ilvl="8" w:tplc="4F60AD7A" w:tentative="1">
      <w:start w:val="1"/>
      <w:numFmt w:val="bullet"/>
      <w:lvlText w:val=""/>
      <w:lvlJc w:val="left"/>
      <w:pPr>
        <w:tabs>
          <w:tab w:val="num" w:pos="6480"/>
        </w:tabs>
        <w:ind w:left="6480" w:hanging="360"/>
      </w:pPr>
      <w:rPr>
        <w:rFonts w:ascii="Wingdings 3" w:hAnsi="Wingdings 3" w:hint="default"/>
      </w:rPr>
    </w:lvl>
  </w:abstractNum>
  <w:abstractNum w:abstractNumId="7">
    <w:nsid w:val="79F33D41"/>
    <w:multiLevelType w:val="hybridMultilevel"/>
    <w:tmpl w:val="31BE964E"/>
    <w:lvl w:ilvl="0" w:tplc="953474E2">
      <w:start w:val="1"/>
      <w:numFmt w:val="decimal"/>
      <w:lvlText w:val="%1."/>
      <w:lvlJc w:val="left"/>
      <w:pPr>
        <w:tabs>
          <w:tab w:val="num" w:pos="720"/>
        </w:tabs>
        <w:ind w:left="720" w:hanging="360"/>
      </w:pPr>
    </w:lvl>
    <w:lvl w:ilvl="1" w:tplc="651C5FA4" w:tentative="1">
      <w:start w:val="1"/>
      <w:numFmt w:val="decimal"/>
      <w:lvlText w:val="%2."/>
      <w:lvlJc w:val="left"/>
      <w:pPr>
        <w:tabs>
          <w:tab w:val="num" w:pos="1440"/>
        </w:tabs>
        <w:ind w:left="1440" w:hanging="360"/>
      </w:pPr>
    </w:lvl>
    <w:lvl w:ilvl="2" w:tplc="AD3EBB7E" w:tentative="1">
      <w:start w:val="1"/>
      <w:numFmt w:val="decimal"/>
      <w:lvlText w:val="%3."/>
      <w:lvlJc w:val="left"/>
      <w:pPr>
        <w:tabs>
          <w:tab w:val="num" w:pos="2160"/>
        </w:tabs>
        <w:ind w:left="2160" w:hanging="360"/>
      </w:pPr>
    </w:lvl>
    <w:lvl w:ilvl="3" w:tplc="5BF65E56" w:tentative="1">
      <w:start w:val="1"/>
      <w:numFmt w:val="decimal"/>
      <w:lvlText w:val="%4."/>
      <w:lvlJc w:val="left"/>
      <w:pPr>
        <w:tabs>
          <w:tab w:val="num" w:pos="2880"/>
        </w:tabs>
        <w:ind w:left="2880" w:hanging="360"/>
      </w:pPr>
    </w:lvl>
    <w:lvl w:ilvl="4" w:tplc="9B7C492C" w:tentative="1">
      <w:start w:val="1"/>
      <w:numFmt w:val="decimal"/>
      <w:lvlText w:val="%5."/>
      <w:lvlJc w:val="left"/>
      <w:pPr>
        <w:tabs>
          <w:tab w:val="num" w:pos="3600"/>
        </w:tabs>
        <w:ind w:left="3600" w:hanging="360"/>
      </w:pPr>
    </w:lvl>
    <w:lvl w:ilvl="5" w:tplc="8632A158" w:tentative="1">
      <w:start w:val="1"/>
      <w:numFmt w:val="decimal"/>
      <w:lvlText w:val="%6."/>
      <w:lvlJc w:val="left"/>
      <w:pPr>
        <w:tabs>
          <w:tab w:val="num" w:pos="4320"/>
        </w:tabs>
        <w:ind w:left="4320" w:hanging="360"/>
      </w:pPr>
    </w:lvl>
    <w:lvl w:ilvl="6" w:tplc="2E7009A6" w:tentative="1">
      <w:start w:val="1"/>
      <w:numFmt w:val="decimal"/>
      <w:lvlText w:val="%7."/>
      <w:lvlJc w:val="left"/>
      <w:pPr>
        <w:tabs>
          <w:tab w:val="num" w:pos="5040"/>
        </w:tabs>
        <w:ind w:left="5040" w:hanging="360"/>
      </w:pPr>
    </w:lvl>
    <w:lvl w:ilvl="7" w:tplc="AA32AC4A" w:tentative="1">
      <w:start w:val="1"/>
      <w:numFmt w:val="decimal"/>
      <w:lvlText w:val="%8."/>
      <w:lvlJc w:val="left"/>
      <w:pPr>
        <w:tabs>
          <w:tab w:val="num" w:pos="5760"/>
        </w:tabs>
        <w:ind w:left="5760" w:hanging="360"/>
      </w:pPr>
    </w:lvl>
    <w:lvl w:ilvl="8" w:tplc="3AE27FCE" w:tentative="1">
      <w:start w:val="1"/>
      <w:numFmt w:val="decimal"/>
      <w:lvlText w:val="%9."/>
      <w:lvlJc w:val="left"/>
      <w:pPr>
        <w:tabs>
          <w:tab w:val="num" w:pos="6480"/>
        </w:tabs>
        <w:ind w:left="6480" w:hanging="360"/>
      </w:pPr>
    </w:lvl>
  </w:abstractNum>
  <w:abstractNum w:abstractNumId="8">
    <w:nsid w:val="7CBB554E"/>
    <w:multiLevelType w:val="hybridMultilevel"/>
    <w:tmpl w:val="9D30CE86"/>
    <w:lvl w:ilvl="0" w:tplc="6A3E44BA">
      <w:start w:val="1"/>
      <w:numFmt w:val="decimal"/>
      <w:lvlText w:val="%1."/>
      <w:lvlJc w:val="left"/>
      <w:pPr>
        <w:tabs>
          <w:tab w:val="num" w:pos="720"/>
        </w:tabs>
        <w:ind w:left="720" w:hanging="360"/>
      </w:pPr>
    </w:lvl>
    <w:lvl w:ilvl="1" w:tplc="E3E45E4E" w:tentative="1">
      <w:start w:val="1"/>
      <w:numFmt w:val="decimal"/>
      <w:lvlText w:val="%2."/>
      <w:lvlJc w:val="left"/>
      <w:pPr>
        <w:tabs>
          <w:tab w:val="num" w:pos="1440"/>
        </w:tabs>
        <w:ind w:left="1440" w:hanging="360"/>
      </w:pPr>
    </w:lvl>
    <w:lvl w:ilvl="2" w:tplc="3E48AC64" w:tentative="1">
      <w:start w:val="1"/>
      <w:numFmt w:val="decimal"/>
      <w:lvlText w:val="%3."/>
      <w:lvlJc w:val="left"/>
      <w:pPr>
        <w:tabs>
          <w:tab w:val="num" w:pos="2160"/>
        </w:tabs>
        <w:ind w:left="2160" w:hanging="360"/>
      </w:pPr>
    </w:lvl>
    <w:lvl w:ilvl="3" w:tplc="0706ED38" w:tentative="1">
      <w:start w:val="1"/>
      <w:numFmt w:val="decimal"/>
      <w:lvlText w:val="%4."/>
      <w:lvlJc w:val="left"/>
      <w:pPr>
        <w:tabs>
          <w:tab w:val="num" w:pos="2880"/>
        </w:tabs>
        <w:ind w:left="2880" w:hanging="360"/>
      </w:pPr>
    </w:lvl>
    <w:lvl w:ilvl="4" w:tplc="138A1558" w:tentative="1">
      <w:start w:val="1"/>
      <w:numFmt w:val="decimal"/>
      <w:lvlText w:val="%5."/>
      <w:lvlJc w:val="left"/>
      <w:pPr>
        <w:tabs>
          <w:tab w:val="num" w:pos="3600"/>
        </w:tabs>
        <w:ind w:left="3600" w:hanging="360"/>
      </w:pPr>
    </w:lvl>
    <w:lvl w:ilvl="5" w:tplc="503A17D2" w:tentative="1">
      <w:start w:val="1"/>
      <w:numFmt w:val="decimal"/>
      <w:lvlText w:val="%6."/>
      <w:lvlJc w:val="left"/>
      <w:pPr>
        <w:tabs>
          <w:tab w:val="num" w:pos="4320"/>
        </w:tabs>
        <w:ind w:left="4320" w:hanging="360"/>
      </w:pPr>
    </w:lvl>
    <w:lvl w:ilvl="6" w:tplc="324CFDDE" w:tentative="1">
      <w:start w:val="1"/>
      <w:numFmt w:val="decimal"/>
      <w:lvlText w:val="%7."/>
      <w:lvlJc w:val="left"/>
      <w:pPr>
        <w:tabs>
          <w:tab w:val="num" w:pos="5040"/>
        </w:tabs>
        <w:ind w:left="5040" w:hanging="360"/>
      </w:pPr>
    </w:lvl>
    <w:lvl w:ilvl="7" w:tplc="DFE02B40" w:tentative="1">
      <w:start w:val="1"/>
      <w:numFmt w:val="decimal"/>
      <w:lvlText w:val="%8."/>
      <w:lvlJc w:val="left"/>
      <w:pPr>
        <w:tabs>
          <w:tab w:val="num" w:pos="5760"/>
        </w:tabs>
        <w:ind w:left="5760" w:hanging="360"/>
      </w:pPr>
    </w:lvl>
    <w:lvl w:ilvl="8" w:tplc="7B7CBCCA" w:tentative="1">
      <w:start w:val="1"/>
      <w:numFmt w:val="decimal"/>
      <w:lvlText w:val="%9."/>
      <w:lvlJc w:val="left"/>
      <w:pPr>
        <w:tabs>
          <w:tab w:val="num" w:pos="6480"/>
        </w:tabs>
        <w:ind w:left="6480" w:hanging="360"/>
      </w:pPr>
    </w:lvl>
  </w:abstractNum>
  <w:num w:numId="1">
    <w:abstractNumId w:val="0"/>
  </w:num>
  <w:num w:numId="2">
    <w:abstractNumId w:val="8"/>
  </w:num>
  <w:num w:numId="3">
    <w:abstractNumId w:val="4"/>
  </w:num>
  <w:num w:numId="4">
    <w:abstractNumId w:val="7"/>
  </w:num>
  <w:num w:numId="5">
    <w:abstractNumId w:val="5"/>
  </w:num>
  <w:num w:numId="6">
    <w:abstractNumId w:val="1"/>
  </w:num>
  <w:num w:numId="7">
    <w:abstractNumId w:val="6"/>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91B"/>
    <w:rsid w:val="000911FF"/>
    <w:rsid w:val="001346EC"/>
    <w:rsid w:val="001E4523"/>
    <w:rsid w:val="001F5D00"/>
    <w:rsid w:val="002163F5"/>
    <w:rsid w:val="002E0613"/>
    <w:rsid w:val="002E65B9"/>
    <w:rsid w:val="002F64BE"/>
    <w:rsid w:val="00364BA7"/>
    <w:rsid w:val="003A7132"/>
    <w:rsid w:val="003F1477"/>
    <w:rsid w:val="004010B0"/>
    <w:rsid w:val="004252EB"/>
    <w:rsid w:val="00490956"/>
    <w:rsid w:val="004E4B84"/>
    <w:rsid w:val="00513388"/>
    <w:rsid w:val="0058224C"/>
    <w:rsid w:val="005D2778"/>
    <w:rsid w:val="005E45B3"/>
    <w:rsid w:val="00623BE2"/>
    <w:rsid w:val="00663C2B"/>
    <w:rsid w:val="0068601C"/>
    <w:rsid w:val="006C40B4"/>
    <w:rsid w:val="00703AA7"/>
    <w:rsid w:val="0075561D"/>
    <w:rsid w:val="0077284E"/>
    <w:rsid w:val="007955A9"/>
    <w:rsid w:val="007B551D"/>
    <w:rsid w:val="007F6521"/>
    <w:rsid w:val="00831BEF"/>
    <w:rsid w:val="0086791B"/>
    <w:rsid w:val="009D3E3F"/>
    <w:rsid w:val="00A74B4D"/>
    <w:rsid w:val="00A848A0"/>
    <w:rsid w:val="00B05B75"/>
    <w:rsid w:val="00B74093"/>
    <w:rsid w:val="00BC424F"/>
    <w:rsid w:val="00BE65BC"/>
    <w:rsid w:val="00BF5518"/>
    <w:rsid w:val="00C3343C"/>
    <w:rsid w:val="00C9110F"/>
    <w:rsid w:val="00CE2B8A"/>
    <w:rsid w:val="00D52627"/>
    <w:rsid w:val="00D65C69"/>
    <w:rsid w:val="00D72FD7"/>
    <w:rsid w:val="00DE7D83"/>
    <w:rsid w:val="00E4093D"/>
    <w:rsid w:val="00E86432"/>
    <w:rsid w:val="00F675C5"/>
    <w:rsid w:val="00FF65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52EB"/>
    <w:pPr>
      <w:ind w:left="720"/>
      <w:contextualSpacing/>
    </w:pPr>
  </w:style>
  <w:style w:type="paragraph" w:styleId="BalloonText">
    <w:name w:val="Balloon Text"/>
    <w:basedOn w:val="Normal"/>
    <w:link w:val="BalloonTextChar"/>
    <w:uiPriority w:val="99"/>
    <w:semiHidden/>
    <w:unhideWhenUsed/>
    <w:rsid w:val="004010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10B0"/>
    <w:rPr>
      <w:rFonts w:ascii="Tahoma" w:hAnsi="Tahoma" w:cs="Tahoma"/>
      <w:sz w:val="16"/>
      <w:szCs w:val="16"/>
    </w:rPr>
  </w:style>
  <w:style w:type="paragraph" w:styleId="Header">
    <w:name w:val="header"/>
    <w:basedOn w:val="Normal"/>
    <w:link w:val="HeaderChar"/>
    <w:uiPriority w:val="99"/>
    <w:unhideWhenUsed/>
    <w:rsid w:val="001F5D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5D00"/>
  </w:style>
  <w:style w:type="paragraph" w:styleId="Footer">
    <w:name w:val="footer"/>
    <w:basedOn w:val="Normal"/>
    <w:link w:val="FooterChar"/>
    <w:uiPriority w:val="99"/>
    <w:unhideWhenUsed/>
    <w:rsid w:val="001F5D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5D00"/>
  </w:style>
  <w:style w:type="table" w:styleId="TableGrid">
    <w:name w:val="Table Grid"/>
    <w:basedOn w:val="TableNormal"/>
    <w:uiPriority w:val="59"/>
    <w:rsid w:val="001F5D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955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55A9"/>
    <w:rPr>
      <w:sz w:val="20"/>
      <w:szCs w:val="20"/>
    </w:rPr>
  </w:style>
  <w:style w:type="character" w:styleId="FootnoteReference">
    <w:name w:val="footnote reference"/>
    <w:basedOn w:val="DefaultParagraphFont"/>
    <w:uiPriority w:val="99"/>
    <w:semiHidden/>
    <w:unhideWhenUsed/>
    <w:rsid w:val="007955A9"/>
    <w:rPr>
      <w:vertAlign w:val="superscript"/>
    </w:rPr>
  </w:style>
  <w:style w:type="character" w:styleId="Hyperlink">
    <w:name w:val="Hyperlink"/>
    <w:basedOn w:val="DefaultParagraphFont"/>
    <w:uiPriority w:val="99"/>
    <w:semiHidden/>
    <w:unhideWhenUsed/>
    <w:rsid w:val="00623BE2"/>
    <w:rPr>
      <w:color w:val="0000FF"/>
      <w:u w:val="single"/>
    </w:rPr>
  </w:style>
  <w:style w:type="character" w:customStyle="1" w:styleId="apple-converted-space">
    <w:name w:val="apple-converted-space"/>
    <w:basedOn w:val="DefaultParagraphFont"/>
    <w:rsid w:val="00623B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52EB"/>
    <w:pPr>
      <w:ind w:left="720"/>
      <w:contextualSpacing/>
    </w:pPr>
  </w:style>
  <w:style w:type="paragraph" w:styleId="BalloonText">
    <w:name w:val="Balloon Text"/>
    <w:basedOn w:val="Normal"/>
    <w:link w:val="BalloonTextChar"/>
    <w:uiPriority w:val="99"/>
    <w:semiHidden/>
    <w:unhideWhenUsed/>
    <w:rsid w:val="004010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10B0"/>
    <w:rPr>
      <w:rFonts w:ascii="Tahoma" w:hAnsi="Tahoma" w:cs="Tahoma"/>
      <w:sz w:val="16"/>
      <w:szCs w:val="16"/>
    </w:rPr>
  </w:style>
  <w:style w:type="paragraph" w:styleId="Header">
    <w:name w:val="header"/>
    <w:basedOn w:val="Normal"/>
    <w:link w:val="HeaderChar"/>
    <w:uiPriority w:val="99"/>
    <w:unhideWhenUsed/>
    <w:rsid w:val="001F5D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5D00"/>
  </w:style>
  <w:style w:type="paragraph" w:styleId="Footer">
    <w:name w:val="footer"/>
    <w:basedOn w:val="Normal"/>
    <w:link w:val="FooterChar"/>
    <w:uiPriority w:val="99"/>
    <w:unhideWhenUsed/>
    <w:rsid w:val="001F5D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5D00"/>
  </w:style>
  <w:style w:type="table" w:styleId="TableGrid">
    <w:name w:val="Table Grid"/>
    <w:basedOn w:val="TableNormal"/>
    <w:uiPriority w:val="59"/>
    <w:rsid w:val="001F5D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955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55A9"/>
    <w:rPr>
      <w:sz w:val="20"/>
      <w:szCs w:val="20"/>
    </w:rPr>
  </w:style>
  <w:style w:type="character" w:styleId="FootnoteReference">
    <w:name w:val="footnote reference"/>
    <w:basedOn w:val="DefaultParagraphFont"/>
    <w:uiPriority w:val="99"/>
    <w:semiHidden/>
    <w:unhideWhenUsed/>
    <w:rsid w:val="007955A9"/>
    <w:rPr>
      <w:vertAlign w:val="superscript"/>
    </w:rPr>
  </w:style>
  <w:style w:type="character" w:styleId="Hyperlink">
    <w:name w:val="Hyperlink"/>
    <w:basedOn w:val="DefaultParagraphFont"/>
    <w:uiPriority w:val="99"/>
    <w:semiHidden/>
    <w:unhideWhenUsed/>
    <w:rsid w:val="00623BE2"/>
    <w:rPr>
      <w:color w:val="0000FF"/>
      <w:u w:val="single"/>
    </w:rPr>
  </w:style>
  <w:style w:type="character" w:customStyle="1" w:styleId="apple-converted-space">
    <w:name w:val="apple-converted-space"/>
    <w:basedOn w:val="DefaultParagraphFont"/>
    <w:rsid w:val="00623B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038408">
      <w:bodyDiv w:val="1"/>
      <w:marLeft w:val="0"/>
      <w:marRight w:val="0"/>
      <w:marTop w:val="0"/>
      <w:marBottom w:val="0"/>
      <w:divBdr>
        <w:top w:val="none" w:sz="0" w:space="0" w:color="auto"/>
        <w:left w:val="none" w:sz="0" w:space="0" w:color="auto"/>
        <w:bottom w:val="none" w:sz="0" w:space="0" w:color="auto"/>
        <w:right w:val="none" w:sz="0" w:space="0" w:color="auto"/>
      </w:divBdr>
      <w:divsChild>
        <w:div w:id="436952325">
          <w:marLeft w:val="547"/>
          <w:marRight w:val="0"/>
          <w:marTop w:val="200"/>
          <w:marBottom w:val="0"/>
          <w:divBdr>
            <w:top w:val="none" w:sz="0" w:space="0" w:color="auto"/>
            <w:left w:val="none" w:sz="0" w:space="0" w:color="auto"/>
            <w:bottom w:val="none" w:sz="0" w:space="0" w:color="auto"/>
            <w:right w:val="none" w:sz="0" w:space="0" w:color="auto"/>
          </w:divBdr>
        </w:div>
      </w:divsChild>
    </w:div>
    <w:div w:id="973755742">
      <w:bodyDiv w:val="1"/>
      <w:marLeft w:val="0"/>
      <w:marRight w:val="0"/>
      <w:marTop w:val="0"/>
      <w:marBottom w:val="0"/>
      <w:divBdr>
        <w:top w:val="none" w:sz="0" w:space="0" w:color="auto"/>
        <w:left w:val="none" w:sz="0" w:space="0" w:color="auto"/>
        <w:bottom w:val="none" w:sz="0" w:space="0" w:color="auto"/>
        <w:right w:val="none" w:sz="0" w:space="0" w:color="auto"/>
      </w:divBdr>
    </w:div>
    <w:div w:id="1165322905">
      <w:bodyDiv w:val="1"/>
      <w:marLeft w:val="0"/>
      <w:marRight w:val="0"/>
      <w:marTop w:val="0"/>
      <w:marBottom w:val="0"/>
      <w:divBdr>
        <w:top w:val="none" w:sz="0" w:space="0" w:color="auto"/>
        <w:left w:val="none" w:sz="0" w:space="0" w:color="auto"/>
        <w:bottom w:val="none" w:sz="0" w:space="0" w:color="auto"/>
        <w:right w:val="none" w:sz="0" w:space="0" w:color="auto"/>
      </w:divBdr>
      <w:divsChild>
        <w:div w:id="336735200">
          <w:marLeft w:val="720"/>
          <w:marRight w:val="0"/>
          <w:marTop w:val="200"/>
          <w:marBottom w:val="0"/>
          <w:divBdr>
            <w:top w:val="none" w:sz="0" w:space="0" w:color="auto"/>
            <w:left w:val="none" w:sz="0" w:space="0" w:color="auto"/>
            <w:bottom w:val="none" w:sz="0" w:space="0" w:color="auto"/>
            <w:right w:val="none" w:sz="0" w:space="0" w:color="auto"/>
          </w:divBdr>
        </w:div>
      </w:divsChild>
    </w:div>
    <w:div w:id="1379889375">
      <w:bodyDiv w:val="1"/>
      <w:marLeft w:val="0"/>
      <w:marRight w:val="0"/>
      <w:marTop w:val="0"/>
      <w:marBottom w:val="0"/>
      <w:divBdr>
        <w:top w:val="none" w:sz="0" w:space="0" w:color="auto"/>
        <w:left w:val="none" w:sz="0" w:space="0" w:color="auto"/>
        <w:bottom w:val="none" w:sz="0" w:space="0" w:color="auto"/>
        <w:right w:val="none" w:sz="0" w:space="0" w:color="auto"/>
      </w:divBdr>
      <w:divsChild>
        <w:div w:id="2060393319">
          <w:marLeft w:val="720"/>
          <w:marRight w:val="0"/>
          <w:marTop w:val="200"/>
          <w:marBottom w:val="0"/>
          <w:divBdr>
            <w:top w:val="none" w:sz="0" w:space="0" w:color="auto"/>
            <w:left w:val="none" w:sz="0" w:space="0" w:color="auto"/>
            <w:bottom w:val="none" w:sz="0" w:space="0" w:color="auto"/>
            <w:right w:val="none" w:sz="0" w:space="0" w:color="auto"/>
          </w:divBdr>
        </w:div>
      </w:divsChild>
    </w:div>
    <w:div w:id="1506165198">
      <w:bodyDiv w:val="1"/>
      <w:marLeft w:val="0"/>
      <w:marRight w:val="0"/>
      <w:marTop w:val="0"/>
      <w:marBottom w:val="0"/>
      <w:divBdr>
        <w:top w:val="none" w:sz="0" w:space="0" w:color="auto"/>
        <w:left w:val="none" w:sz="0" w:space="0" w:color="auto"/>
        <w:bottom w:val="none" w:sz="0" w:space="0" w:color="auto"/>
        <w:right w:val="none" w:sz="0" w:space="0" w:color="auto"/>
      </w:divBdr>
      <w:divsChild>
        <w:div w:id="762066553">
          <w:marLeft w:val="720"/>
          <w:marRight w:val="0"/>
          <w:marTop w:val="200"/>
          <w:marBottom w:val="0"/>
          <w:divBdr>
            <w:top w:val="none" w:sz="0" w:space="0" w:color="auto"/>
            <w:left w:val="none" w:sz="0" w:space="0" w:color="auto"/>
            <w:bottom w:val="none" w:sz="0" w:space="0" w:color="auto"/>
            <w:right w:val="none" w:sz="0" w:space="0" w:color="auto"/>
          </w:divBdr>
        </w:div>
        <w:div w:id="1771122014">
          <w:marLeft w:val="720"/>
          <w:marRight w:val="0"/>
          <w:marTop w:val="200"/>
          <w:marBottom w:val="0"/>
          <w:divBdr>
            <w:top w:val="none" w:sz="0" w:space="0" w:color="auto"/>
            <w:left w:val="none" w:sz="0" w:space="0" w:color="auto"/>
            <w:bottom w:val="none" w:sz="0" w:space="0" w:color="auto"/>
            <w:right w:val="none" w:sz="0" w:space="0" w:color="auto"/>
          </w:divBdr>
        </w:div>
        <w:div w:id="652683130">
          <w:marLeft w:val="720"/>
          <w:marRight w:val="0"/>
          <w:marTop w:val="200"/>
          <w:marBottom w:val="0"/>
          <w:divBdr>
            <w:top w:val="none" w:sz="0" w:space="0" w:color="auto"/>
            <w:left w:val="none" w:sz="0" w:space="0" w:color="auto"/>
            <w:bottom w:val="none" w:sz="0" w:space="0" w:color="auto"/>
            <w:right w:val="none" w:sz="0" w:space="0" w:color="auto"/>
          </w:divBdr>
        </w:div>
        <w:div w:id="1995641812">
          <w:marLeft w:val="720"/>
          <w:marRight w:val="0"/>
          <w:marTop w:val="200"/>
          <w:marBottom w:val="0"/>
          <w:divBdr>
            <w:top w:val="none" w:sz="0" w:space="0" w:color="auto"/>
            <w:left w:val="none" w:sz="0" w:space="0" w:color="auto"/>
            <w:bottom w:val="none" w:sz="0" w:space="0" w:color="auto"/>
            <w:right w:val="none" w:sz="0" w:space="0" w:color="auto"/>
          </w:divBdr>
        </w:div>
        <w:div w:id="2706992">
          <w:marLeft w:val="720"/>
          <w:marRight w:val="0"/>
          <w:marTop w:val="200"/>
          <w:marBottom w:val="0"/>
          <w:divBdr>
            <w:top w:val="none" w:sz="0" w:space="0" w:color="auto"/>
            <w:left w:val="none" w:sz="0" w:space="0" w:color="auto"/>
            <w:bottom w:val="none" w:sz="0" w:space="0" w:color="auto"/>
            <w:right w:val="none" w:sz="0" w:space="0" w:color="auto"/>
          </w:divBdr>
        </w:div>
        <w:div w:id="463041513">
          <w:marLeft w:val="720"/>
          <w:marRight w:val="0"/>
          <w:marTop w:val="200"/>
          <w:marBottom w:val="0"/>
          <w:divBdr>
            <w:top w:val="none" w:sz="0" w:space="0" w:color="auto"/>
            <w:left w:val="none" w:sz="0" w:space="0" w:color="auto"/>
            <w:bottom w:val="none" w:sz="0" w:space="0" w:color="auto"/>
            <w:right w:val="none" w:sz="0" w:space="0" w:color="auto"/>
          </w:divBdr>
        </w:div>
        <w:div w:id="790435876">
          <w:marLeft w:val="720"/>
          <w:marRight w:val="0"/>
          <w:marTop w:val="200"/>
          <w:marBottom w:val="0"/>
          <w:divBdr>
            <w:top w:val="none" w:sz="0" w:space="0" w:color="auto"/>
            <w:left w:val="none" w:sz="0" w:space="0" w:color="auto"/>
            <w:bottom w:val="none" w:sz="0" w:space="0" w:color="auto"/>
            <w:right w:val="none" w:sz="0" w:space="0" w:color="auto"/>
          </w:divBdr>
        </w:div>
        <w:div w:id="848713536">
          <w:marLeft w:val="720"/>
          <w:marRight w:val="0"/>
          <w:marTop w:val="200"/>
          <w:marBottom w:val="0"/>
          <w:divBdr>
            <w:top w:val="none" w:sz="0" w:space="0" w:color="auto"/>
            <w:left w:val="none" w:sz="0" w:space="0" w:color="auto"/>
            <w:bottom w:val="none" w:sz="0" w:space="0" w:color="auto"/>
            <w:right w:val="none" w:sz="0" w:space="0" w:color="auto"/>
          </w:divBdr>
        </w:div>
      </w:divsChild>
    </w:div>
    <w:div w:id="1797867406">
      <w:bodyDiv w:val="1"/>
      <w:marLeft w:val="0"/>
      <w:marRight w:val="0"/>
      <w:marTop w:val="0"/>
      <w:marBottom w:val="0"/>
      <w:divBdr>
        <w:top w:val="none" w:sz="0" w:space="0" w:color="auto"/>
        <w:left w:val="none" w:sz="0" w:space="0" w:color="auto"/>
        <w:bottom w:val="none" w:sz="0" w:space="0" w:color="auto"/>
        <w:right w:val="none" w:sz="0" w:space="0" w:color="auto"/>
      </w:divBdr>
      <w:divsChild>
        <w:div w:id="1454447003">
          <w:marLeft w:val="720"/>
          <w:marRight w:val="0"/>
          <w:marTop w:val="200"/>
          <w:marBottom w:val="0"/>
          <w:divBdr>
            <w:top w:val="none" w:sz="0" w:space="0" w:color="auto"/>
            <w:left w:val="none" w:sz="0" w:space="0" w:color="auto"/>
            <w:bottom w:val="none" w:sz="0" w:space="0" w:color="auto"/>
            <w:right w:val="none" w:sz="0" w:space="0" w:color="auto"/>
          </w:divBdr>
        </w:div>
      </w:divsChild>
    </w:div>
    <w:div w:id="1995723534">
      <w:bodyDiv w:val="1"/>
      <w:marLeft w:val="0"/>
      <w:marRight w:val="0"/>
      <w:marTop w:val="0"/>
      <w:marBottom w:val="0"/>
      <w:divBdr>
        <w:top w:val="none" w:sz="0" w:space="0" w:color="auto"/>
        <w:left w:val="none" w:sz="0" w:space="0" w:color="auto"/>
        <w:bottom w:val="none" w:sz="0" w:space="0" w:color="auto"/>
        <w:right w:val="none" w:sz="0" w:space="0" w:color="auto"/>
      </w:divBdr>
      <w:divsChild>
        <w:div w:id="1141312766">
          <w:marLeft w:val="72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n.wikipedia.org/wiki/Chemical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n.wikipedia.org/wiki/Food_processin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wikipedia.org/wiki/Minin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yperlink" Target="https://en.wikipedia.org/wiki/Steel"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Lynne\Downloads\GERD-GDP%20and%20Appropriation%20graph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Lynne\Downloads\GERD-GDP%20and%20Appropriation%20graph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616886538338429"/>
          <c:y val="6.8020061848704558E-2"/>
          <c:w val="0.8163139363677101"/>
          <c:h val="0.57345339258335282"/>
        </c:manualLayout>
      </c:layout>
      <c:barChart>
        <c:barDir val="col"/>
        <c:grouping val="clustered"/>
        <c:varyColors val="0"/>
        <c:ser>
          <c:idx val="0"/>
          <c:order val="0"/>
          <c:tx>
            <c:strRef>
              <c:f>'[GERD-GDP and Appropriation graphs.xlsx]GERD GDP'!$B$1</c:f>
              <c:strCache>
                <c:ptCount val="1"/>
                <c:pt idx="0">
                  <c:v>GERD/GDP</c:v>
                </c:pt>
              </c:strCache>
            </c:strRef>
          </c:tx>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cat>
            <c:numRef>
              <c:f>'[GERD-GDP and Appropriation graphs.xlsx]GERD GDP'!$A$2:$A$5</c:f>
              <c:numCache>
                <c:formatCode>General</c:formatCode>
                <c:ptCount val="4"/>
                <c:pt idx="0">
                  <c:v>2008</c:v>
                </c:pt>
                <c:pt idx="1">
                  <c:v>2010</c:v>
                </c:pt>
                <c:pt idx="2">
                  <c:v>2011</c:v>
                </c:pt>
                <c:pt idx="3">
                  <c:v>2013</c:v>
                </c:pt>
              </c:numCache>
            </c:numRef>
          </c:cat>
          <c:val>
            <c:numRef>
              <c:f>'[GERD-GDP and Appropriation graphs.xlsx]GERD GDP'!$B$2:$B$5</c:f>
              <c:numCache>
                <c:formatCode>General</c:formatCode>
                <c:ptCount val="4"/>
                <c:pt idx="0">
                  <c:v>2.25</c:v>
                </c:pt>
                <c:pt idx="1">
                  <c:v>2.2000000000000002</c:v>
                </c:pt>
                <c:pt idx="2">
                  <c:v>2.13</c:v>
                </c:pt>
                <c:pt idx="3">
                  <c:v>2.11</c:v>
                </c:pt>
              </c:numCache>
            </c:numRef>
          </c:val>
        </c:ser>
        <c:dLbls>
          <c:showLegendKey val="0"/>
          <c:showVal val="0"/>
          <c:showCatName val="0"/>
          <c:showSerName val="0"/>
          <c:showPercent val="0"/>
          <c:showBubbleSize val="0"/>
        </c:dLbls>
        <c:gapWidth val="164"/>
        <c:overlap val="-22"/>
        <c:axId val="111111552"/>
        <c:axId val="113911296"/>
      </c:barChart>
      <c:catAx>
        <c:axId val="111111552"/>
        <c:scaling>
          <c:orientation val="minMax"/>
        </c:scaling>
        <c:delete val="0"/>
        <c:axPos val="b"/>
        <c:title>
          <c:tx>
            <c:rich>
              <a:bodyPr rot="0" spcFirstLastPara="1" vertOverflow="ellipsis" vert="horz" wrap="square" anchor="ctr" anchorCtr="1"/>
              <a:lstStyle/>
              <a:p>
                <a:pPr>
                  <a:defRPr sz="1197" b="1" i="0" u="none" strike="noStrike" kern="1200" baseline="0">
                    <a:solidFill>
                      <a:schemeClr val="tx1">
                        <a:lumMod val="65000"/>
                        <a:lumOff val="35000"/>
                      </a:schemeClr>
                    </a:solidFill>
                    <a:latin typeface="+mn-lt"/>
                    <a:ea typeface="+mn-ea"/>
                    <a:cs typeface="+mn-cs"/>
                  </a:defRPr>
                </a:pPr>
                <a:r>
                  <a:rPr lang="en-US"/>
                  <a:t>Year</a:t>
                </a:r>
              </a:p>
            </c:rich>
          </c:tx>
          <c:overlay val="0"/>
          <c:spPr>
            <a:noFill/>
            <a:ln>
              <a:noFill/>
            </a:ln>
            <a:effectLst/>
          </c:spPr>
        </c:title>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113911296"/>
        <c:crosses val="autoZero"/>
        <c:auto val="1"/>
        <c:lblAlgn val="ctr"/>
        <c:lblOffset val="100"/>
        <c:noMultiLvlLbl val="0"/>
      </c:catAx>
      <c:valAx>
        <c:axId val="113911296"/>
        <c:scaling>
          <c:orientation val="minMax"/>
        </c:scaling>
        <c:delete val="0"/>
        <c:axPos val="l"/>
        <c:title>
          <c:tx>
            <c:rich>
              <a:bodyPr rot="-5400000" spcFirstLastPara="1" vertOverflow="ellipsis" vert="horz" wrap="square" anchor="ctr" anchorCtr="1"/>
              <a:lstStyle/>
              <a:p>
                <a:pPr>
                  <a:defRPr sz="1197" b="1" i="0" u="none" strike="noStrike" kern="1200" baseline="0">
                    <a:solidFill>
                      <a:schemeClr val="tx1">
                        <a:lumMod val="65000"/>
                        <a:lumOff val="35000"/>
                      </a:schemeClr>
                    </a:solidFill>
                    <a:latin typeface="+mn-lt"/>
                    <a:ea typeface="+mn-ea"/>
                    <a:cs typeface="+mn-cs"/>
                  </a:defRPr>
                </a:pPr>
                <a:r>
                  <a:rPr lang="en-US"/>
                  <a:t>GERD/GDP</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111111552"/>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'[GERD-GDP and Appropriation graphs.xlsx]Appropriation'!$B$1</c:f>
              <c:strCache>
                <c:ptCount val="1"/>
                <c:pt idx="0">
                  <c:v>Appropriation</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'[GERD-GDP and Appropriation graphs.xlsx]Appropriation'!$A$2:$A$6</c:f>
              <c:numCache>
                <c:formatCode>General</c:formatCode>
                <c:ptCount val="5"/>
                <c:pt idx="0">
                  <c:v>2010</c:v>
                </c:pt>
                <c:pt idx="1">
                  <c:v>2011</c:v>
                </c:pt>
                <c:pt idx="2">
                  <c:v>2012</c:v>
                </c:pt>
                <c:pt idx="3">
                  <c:v>2013</c:v>
                </c:pt>
                <c:pt idx="4">
                  <c:v>2014</c:v>
                </c:pt>
              </c:numCache>
            </c:numRef>
          </c:cat>
          <c:val>
            <c:numRef>
              <c:f>'[GERD-GDP and Appropriation graphs.xlsx]Appropriation'!$B$2:$B$6</c:f>
              <c:numCache>
                <c:formatCode>General</c:formatCode>
                <c:ptCount val="5"/>
                <c:pt idx="0">
                  <c:v>0.5</c:v>
                </c:pt>
                <c:pt idx="1">
                  <c:v>0.48</c:v>
                </c:pt>
                <c:pt idx="2">
                  <c:v>0.46</c:v>
                </c:pt>
                <c:pt idx="3">
                  <c:v>0.43</c:v>
                </c:pt>
                <c:pt idx="4">
                  <c:v>0.41</c:v>
                </c:pt>
              </c:numCache>
            </c:numRef>
          </c:val>
        </c:ser>
        <c:dLbls>
          <c:dLblPos val="inEnd"/>
          <c:showLegendKey val="0"/>
          <c:showVal val="1"/>
          <c:showCatName val="0"/>
          <c:showSerName val="0"/>
          <c:showPercent val="0"/>
          <c:showBubbleSize val="0"/>
        </c:dLbls>
        <c:gapWidth val="219"/>
        <c:overlap val="-27"/>
        <c:axId val="113732608"/>
        <c:axId val="113735936"/>
      </c:barChart>
      <c:catAx>
        <c:axId val="113732608"/>
        <c:scaling>
          <c:orientation val="minMax"/>
        </c:scaling>
        <c:delete val="0"/>
        <c:axPos val="b"/>
        <c:title>
          <c:tx>
            <c:rich>
              <a:bodyPr rot="0" spcFirstLastPara="1" vertOverflow="ellipsis" vert="horz" wrap="square" anchor="ctr" anchorCtr="1"/>
              <a:lstStyle/>
              <a:p>
                <a:pPr>
                  <a:defRPr sz="1330" b="0" i="0" u="none" strike="noStrike" kern="1200" baseline="0">
                    <a:solidFill>
                      <a:schemeClr val="tx1">
                        <a:lumMod val="65000"/>
                        <a:lumOff val="35000"/>
                      </a:schemeClr>
                    </a:solidFill>
                    <a:latin typeface="+mn-lt"/>
                    <a:ea typeface="+mn-ea"/>
                    <a:cs typeface="+mn-cs"/>
                  </a:defRPr>
                </a:pPr>
                <a:r>
                  <a:rPr lang="en-US"/>
                  <a:t>Year</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113735936"/>
        <c:crosses val="autoZero"/>
        <c:auto val="1"/>
        <c:lblAlgn val="ctr"/>
        <c:lblOffset val="100"/>
        <c:noMultiLvlLbl val="0"/>
      </c:catAx>
      <c:valAx>
        <c:axId val="1137359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330" b="0" i="0" u="none" strike="noStrike" kern="1200" baseline="0">
                    <a:solidFill>
                      <a:schemeClr val="tx1">
                        <a:lumMod val="65000"/>
                        <a:lumOff val="35000"/>
                      </a:schemeClr>
                    </a:solidFill>
                    <a:latin typeface="+mn-lt"/>
                    <a:ea typeface="+mn-ea"/>
                    <a:cs typeface="+mn-cs"/>
                  </a:defRPr>
                </a:pPr>
                <a:r>
                  <a:rPr lang="en-US"/>
                  <a:t>Appropriation</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113732608"/>
        <c:crosses val="autoZero"/>
        <c:crossBetween val="between"/>
      </c:valAx>
      <c:spPr>
        <a:noFill/>
        <a:ln>
          <a:noFill/>
        </a:ln>
        <a:effectLst/>
      </c:spPr>
    </c:plotArea>
    <c:plotVisOnly val="1"/>
    <c:dispBlanksAs val="gap"/>
    <c:showDLblsOverMax val="0"/>
  </c:chart>
  <c:spPr>
    <a:noFill/>
    <a:ln>
      <a:noFill/>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E1EB7-1BF4-4DAD-9F5F-693D66DF5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1920</Words>
  <Characters>10945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dc:creator>
  <cp:lastModifiedBy>Lynne</cp:lastModifiedBy>
  <cp:revision>7</cp:revision>
  <dcterms:created xsi:type="dcterms:W3CDTF">2016-05-22T22:18:00Z</dcterms:created>
  <dcterms:modified xsi:type="dcterms:W3CDTF">2016-06-03T03:53:00Z</dcterms:modified>
</cp:coreProperties>
</file>